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C5" w:rsidRPr="00E4344F" w:rsidRDefault="007233C5" w:rsidP="003B29AD">
      <w:pPr>
        <w:pStyle w:val="NoSpacing"/>
        <w:jc w:val="center"/>
        <w:rPr>
          <w:rFonts w:ascii="Arial" w:hAnsi="Arial" w:cs="Arial"/>
        </w:rPr>
      </w:pPr>
    </w:p>
    <w:p w:rsidR="007233C5" w:rsidRPr="00E4344F" w:rsidRDefault="007233C5" w:rsidP="003B29AD">
      <w:pPr>
        <w:pStyle w:val="NoSpacing"/>
        <w:jc w:val="center"/>
        <w:rPr>
          <w:rFonts w:ascii="Arial" w:hAnsi="Arial" w:cs="Arial"/>
        </w:rPr>
      </w:pPr>
    </w:p>
    <w:p w:rsidR="007233C5" w:rsidRPr="00E4344F" w:rsidRDefault="007233C5" w:rsidP="003B29AD">
      <w:pPr>
        <w:pStyle w:val="NoSpacing"/>
        <w:jc w:val="center"/>
        <w:rPr>
          <w:rFonts w:ascii="Arial" w:hAnsi="Arial" w:cs="Arial"/>
        </w:rPr>
      </w:pPr>
    </w:p>
    <w:p w:rsidR="007233C5" w:rsidRPr="00E4344F" w:rsidRDefault="007233C5" w:rsidP="003B29AD">
      <w:pPr>
        <w:pStyle w:val="NoSpacing"/>
        <w:jc w:val="center"/>
        <w:rPr>
          <w:rFonts w:ascii="Arial" w:hAnsi="Arial" w:cs="Arial"/>
        </w:rPr>
      </w:pPr>
    </w:p>
    <w:p w:rsidR="007233C5" w:rsidRPr="00E4344F" w:rsidRDefault="007233C5" w:rsidP="003B29AD">
      <w:pPr>
        <w:pStyle w:val="NoSpacing"/>
        <w:jc w:val="center"/>
        <w:rPr>
          <w:rFonts w:ascii="Arial" w:hAnsi="Arial" w:cs="Arial"/>
        </w:rPr>
      </w:pPr>
    </w:p>
    <w:p w:rsidR="007233C5" w:rsidRPr="00E4344F" w:rsidRDefault="007233C5" w:rsidP="003B29AD">
      <w:pPr>
        <w:pStyle w:val="NoSpacing"/>
        <w:jc w:val="center"/>
        <w:rPr>
          <w:rFonts w:ascii="Arial" w:hAnsi="Arial" w:cs="Arial"/>
        </w:rPr>
      </w:pPr>
    </w:p>
    <w:p w:rsidR="007233C5" w:rsidRPr="00E4344F" w:rsidRDefault="007233C5" w:rsidP="003B29AD">
      <w:pPr>
        <w:pStyle w:val="NoSpacing"/>
        <w:jc w:val="center"/>
        <w:rPr>
          <w:rFonts w:ascii="Arial" w:hAnsi="Arial" w:cs="Arial"/>
        </w:rPr>
      </w:pPr>
    </w:p>
    <w:p w:rsidR="007233C5" w:rsidRPr="00E4344F" w:rsidRDefault="0041608E" w:rsidP="003B29AD">
      <w:pPr>
        <w:pStyle w:val="NoSpacing"/>
        <w:jc w:val="center"/>
        <w:rPr>
          <w:rFonts w:ascii="Arial" w:hAnsi="Arial" w:cs="Arial"/>
          <w:sz w:val="32"/>
          <w:szCs w:val="32"/>
        </w:rPr>
      </w:pPr>
      <w:r>
        <w:rPr>
          <w:rFonts w:ascii="Arial" w:hAnsi="Arial" w:cs="Arial"/>
          <w:noProof/>
        </w:rPr>
        <w:drawing>
          <wp:inline distT="0" distB="0" distL="0" distR="0">
            <wp:extent cx="4514850" cy="197473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1974735"/>
                    </a:xfrm>
                    <a:prstGeom prst="rect">
                      <a:avLst/>
                    </a:prstGeom>
                    <a:noFill/>
                    <a:ln>
                      <a:noFill/>
                    </a:ln>
                  </pic:spPr>
                </pic:pic>
              </a:graphicData>
            </a:graphic>
          </wp:inline>
        </w:drawing>
      </w:r>
    </w:p>
    <w:p w:rsidR="007233C5" w:rsidRPr="00E4344F" w:rsidRDefault="007233C5" w:rsidP="003B29AD">
      <w:pPr>
        <w:pStyle w:val="NoSpacing"/>
        <w:jc w:val="center"/>
        <w:rPr>
          <w:rFonts w:ascii="Arial" w:hAnsi="Arial" w:cs="Arial"/>
          <w:sz w:val="32"/>
          <w:szCs w:val="32"/>
        </w:rPr>
      </w:pPr>
    </w:p>
    <w:p w:rsidR="007233C5" w:rsidRPr="00E4344F" w:rsidRDefault="007233C5" w:rsidP="003B29AD">
      <w:pPr>
        <w:pStyle w:val="NoSpacing"/>
        <w:jc w:val="center"/>
        <w:rPr>
          <w:rFonts w:ascii="Arial" w:hAnsi="Arial" w:cs="Arial"/>
          <w:b/>
          <w:sz w:val="52"/>
          <w:szCs w:val="52"/>
        </w:rPr>
      </w:pPr>
      <w:r w:rsidRPr="00E4344F">
        <w:rPr>
          <w:rFonts w:ascii="Arial" w:hAnsi="Arial" w:cs="Arial"/>
          <w:b/>
          <w:sz w:val="52"/>
          <w:szCs w:val="52"/>
        </w:rPr>
        <w:t>Progression Report</w:t>
      </w:r>
    </w:p>
    <w:p w:rsidR="007233C5" w:rsidRPr="00E4344F" w:rsidRDefault="007233C5" w:rsidP="003B29AD">
      <w:pPr>
        <w:pStyle w:val="NoSpacing"/>
        <w:jc w:val="center"/>
        <w:rPr>
          <w:rFonts w:ascii="Arial" w:hAnsi="Arial" w:cs="Arial"/>
          <w:b/>
          <w:sz w:val="36"/>
          <w:szCs w:val="36"/>
        </w:rPr>
      </w:pPr>
      <w:r w:rsidRPr="00E4344F">
        <w:rPr>
          <w:rFonts w:ascii="Arial" w:hAnsi="Arial" w:cs="Arial"/>
          <w:b/>
          <w:sz w:val="36"/>
          <w:szCs w:val="36"/>
        </w:rPr>
        <w:t>for</w:t>
      </w:r>
    </w:p>
    <w:p w:rsidR="007233C5" w:rsidRPr="00E4344F" w:rsidRDefault="007233C5" w:rsidP="003B29AD">
      <w:pPr>
        <w:pStyle w:val="NoSpacing"/>
        <w:jc w:val="center"/>
        <w:rPr>
          <w:rFonts w:ascii="Arial" w:hAnsi="Arial" w:cs="Arial"/>
          <w:b/>
          <w:sz w:val="36"/>
          <w:szCs w:val="36"/>
        </w:rPr>
      </w:pPr>
    </w:p>
    <w:p w:rsidR="007233C5" w:rsidRPr="00E4344F" w:rsidRDefault="0041608E" w:rsidP="003B29AD">
      <w:pPr>
        <w:pStyle w:val="NoSpacing"/>
        <w:jc w:val="center"/>
        <w:rPr>
          <w:rFonts w:ascii="Arial" w:hAnsi="Arial" w:cs="Arial"/>
          <w:b/>
          <w:sz w:val="52"/>
          <w:szCs w:val="52"/>
        </w:rPr>
      </w:pPr>
      <w:r>
        <w:rPr>
          <w:noProof/>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15875</wp:posOffset>
            </wp:positionV>
            <wp:extent cx="3209925" cy="153543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535430"/>
                    </a:xfrm>
                    <a:prstGeom prst="rect">
                      <a:avLst/>
                    </a:prstGeom>
                    <a:noFill/>
                  </pic:spPr>
                </pic:pic>
              </a:graphicData>
            </a:graphic>
            <wp14:sizeRelH relativeFrom="page">
              <wp14:pctWidth>0</wp14:pctWidth>
            </wp14:sizeRelH>
            <wp14:sizeRelV relativeFrom="page">
              <wp14:pctHeight>0</wp14:pctHeight>
            </wp14:sizeRelV>
          </wp:anchor>
        </w:drawing>
      </w:r>
    </w:p>
    <w:p w:rsidR="007233C5" w:rsidRPr="00E4344F" w:rsidRDefault="007233C5" w:rsidP="003B29AD">
      <w:pPr>
        <w:pStyle w:val="NoSpacing"/>
        <w:jc w:val="center"/>
        <w:rPr>
          <w:rFonts w:ascii="Arial" w:hAnsi="Arial" w:cs="Arial"/>
          <w:sz w:val="32"/>
          <w:szCs w:val="32"/>
        </w:rPr>
      </w:pPr>
    </w:p>
    <w:p w:rsidR="007233C5" w:rsidRPr="00E4344F" w:rsidRDefault="007233C5" w:rsidP="003B29AD">
      <w:pPr>
        <w:pStyle w:val="NoSpacing"/>
        <w:jc w:val="center"/>
        <w:rPr>
          <w:rFonts w:ascii="Arial" w:hAnsi="Arial" w:cs="Arial"/>
          <w:sz w:val="32"/>
          <w:szCs w:val="32"/>
        </w:rPr>
      </w:pPr>
    </w:p>
    <w:p w:rsidR="007233C5" w:rsidRDefault="007233C5" w:rsidP="003B29AD">
      <w:pPr>
        <w:pStyle w:val="NoSpacing"/>
        <w:jc w:val="center"/>
        <w:rPr>
          <w:rFonts w:ascii="Arial" w:hAnsi="Arial" w:cs="Arial"/>
          <w:sz w:val="40"/>
          <w:szCs w:val="40"/>
        </w:rPr>
      </w:pPr>
    </w:p>
    <w:p w:rsidR="007233C5" w:rsidRDefault="007233C5" w:rsidP="003B29AD">
      <w:pPr>
        <w:pStyle w:val="NoSpacing"/>
        <w:jc w:val="center"/>
        <w:rPr>
          <w:rFonts w:ascii="Arial" w:hAnsi="Arial" w:cs="Arial"/>
          <w:sz w:val="40"/>
          <w:szCs w:val="40"/>
        </w:rPr>
      </w:pPr>
    </w:p>
    <w:p w:rsidR="007233C5" w:rsidRDefault="007233C5" w:rsidP="003B29AD">
      <w:pPr>
        <w:pStyle w:val="NoSpacing"/>
        <w:jc w:val="center"/>
        <w:rPr>
          <w:rFonts w:ascii="Arial" w:hAnsi="Arial" w:cs="Arial"/>
          <w:sz w:val="40"/>
          <w:szCs w:val="40"/>
        </w:rPr>
      </w:pPr>
    </w:p>
    <w:p w:rsidR="007233C5" w:rsidRDefault="007233C5" w:rsidP="003B29AD">
      <w:pPr>
        <w:pStyle w:val="NoSpacing"/>
        <w:jc w:val="center"/>
        <w:rPr>
          <w:rFonts w:ascii="Arial" w:hAnsi="Arial" w:cs="Arial"/>
          <w:sz w:val="40"/>
          <w:szCs w:val="40"/>
        </w:rPr>
      </w:pPr>
    </w:p>
    <w:p w:rsidR="007233C5" w:rsidRPr="00E4344F" w:rsidRDefault="00D7614E" w:rsidP="003B29AD">
      <w:pPr>
        <w:pStyle w:val="NoSpacing"/>
        <w:jc w:val="center"/>
        <w:rPr>
          <w:rFonts w:ascii="Arial" w:hAnsi="Arial" w:cs="Arial"/>
          <w:sz w:val="40"/>
          <w:szCs w:val="40"/>
        </w:rPr>
      </w:pPr>
      <w:r>
        <w:rPr>
          <w:rFonts w:ascii="Arial" w:hAnsi="Arial" w:cs="Arial"/>
          <w:sz w:val="40"/>
          <w:szCs w:val="40"/>
        </w:rPr>
        <w:t>January - June 2011</w:t>
      </w:r>
    </w:p>
    <w:p w:rsidR="007233C5" w:rsidRPr="00E4344F" w:rsidRDefault="007233C5" w:rsidP="003B29AD">
      <w:pPr>
        <w:pStyle w:val="NoSpacing"/>
        <w:jc w:val="center"/>
        <w:rPr>
          <w:rFonts w:ascii="Arial" w:hAnsi="Arial" w:cs="Arial"/>
          <w:sz w:val="32"/>
          <w:szCs w:val="32"/>
        </w:rPr>
      </w:pPr>
    </w:p>
    <w:p w:rsidR="007233C5" w:rsidRPr="00E4344F" w:rsidRDefault="007233C5" w:rsidP="003B29AD">
      <w:pPr>
        <w:pStyle w:val="NoSpacing"/>
        <w:jc w:val="center"/>
        <w:rPr>
          <w:rFonts w:ascii="Arial" w:hAnsi="Arial" w:cs="Arial"/>
          <w:sz w:val="32"/>
          <w:szCs w:val="32"/>
        </w:rPr>
      </w:pPr>
    </w:p>
    <w:p w:rsidR="007233C5" w:rsidRPr="00E4344F" w:rsidRDefault="007233C5" w:rsidP="003B29AD">
      <w:pPr>
        <w:pStyle w:val="NoSpacing"/>
        <w:jc w:val="center"/>
        <w:rPr>
          <w:rFonts w:ascii="Arial" w:hAnsi="Arial" w:cs="Arial"/>
          <w:sz w:val="32"/>
          <w:szCs w:val="32"/>
        </w:rPr>
      </w:pPr>
    </w:p>
    <w:p w:rsidR="007233C5" w:rsidRPr="00E4344F" w:rsidRDefault="007233C5" w:rsidP="003B29AD">
      <w:pPr>
        <w:autoSpaceDE w:val="0"/>
        <w:autoSpaceDN w:val="0"/>
        <w:adjustRightInd w:val="0"/>
        <w:spacing w:after="0" w:line="240" w:lineRule="auto"/>
        <w:jc w:val="center"/>
        <w:rPr>
          <w:rFonts w:ascii="Arial" w:hAnsi="Arial" w:cs="Arial"/>
          <w:sz w:val="24"/>
          <w:szCs w:val="24"/>
        </w:rPr>
      </w:pPr>
      <w:r w:rsidRPr="00E4344F">
        <w:rPr>
          <w:rFonts w:ascii="Arial" w:hAnsi="Arial" w:cs="Arial"/>
          <w:sz w:val="24"/>
          <w:szCs w:val="24"/>
        </w:rPr>
        <w:t>Provided by:</w:t>
      </w:r>
    </w:p>
    <w:p w:rsidR="007233C5" w:rsidRPr="00E4344F" w:rsidRDefault="007233C5" w:rsidP="003B29AD">
      <w:pPr>
        <w:autoSpaceDE w:val="0"/>
        <w:autoSpaceDN w:val="0"/>
        <w:adjustRightInd w:val="0"/>
        <w:spacing w:after="0" w:line="240" w:lineRule="auto"/>
        <w:jc w:val="center"/>
        <w:rPr>
          <w:rFonts w:ascii="Arial" w:hAnsi="Arial" w:cs="Arial"/>
          <w:i/>
          <w:sz w:val="24"/>
          <w:szCs w:val="24"/>
        </w:rPr>
      </w:pPr>
      <w:r w:rsidRPr="00E4344F">
        <w:rPr>
          <w:rFonts w:ascii="Arial" w:hAnsi="Arial" w:cs="Arial"/>
          <w:i/>
          <w:sz w:val="24"/>
          <w:szCs w:val="24"/>
        </w:rPr>
        <w:t>Meaghan Jansen</w:t>
      </w:r>
    </w:p>
    <w:p w:rsidR="007233C5" w:rsidRPr="00E4344F" w:rsidRDefault="007233C5" w:rsidP="003B29AD">
      <w:pPr>
        <w:autoSpaceDE w:val="0"/>
        <w:autoSpaceDN w:val="0"/>
        <w:adjustRightInd w:val="0"/>
        <w:spacing w:after="0" w:line="240" w:lineRule="auto"/>
        <w:jc w:val="center"/>
        <w:rPr>
          <w:rFonts w:ascii="Arial" w:hAnsi="Arial" w:cs="Arial"/>
          <w:b/>
          <w:bCs/>
          <w:sz w:val="24"/>
          <w:szCs w:val="24"/>
        </w:rPr>
      </w:pPr>
      <w:r w:rsidRPr="00E4344F">
        <w:rPr>
          <w:rFonts w:ascii="Arial" w:hAnsi="Arial" w:cs="Arial"/>
          <w:b/>
          <w:bCs/>
          <w:sz w:val="24"/>
          <w:szCs w:val="24"/>
        </w:rPr>
        <w:t>Employee Wellness Solutions Network</w:t>
      </w:r>
    </w:p>
    <w:p w:rsidR="007233C5" w:rsidRPr="00E4344F" w:rsidRDefault="00FA58D7" w:rsidP="003B29AD">
      <w:pPr>
        <w:pStyle w:val="NoSpacing"/>
        <w:jc w:val="center"/>
        <w:rPr>
          <w:rFonts w:ascii="Arial" w:hAnsi="Arial" w:cs="Arial"/>
          <w:sz w:val="24"/>
          <w:szCs w:val="24"/>
        </w:rPr>
      </w:pPr>
      <w:hyperlink r:id="rId10" w:history="1">
        <w:r w:rsidR="007233C5" w:rsidRPr="00E4344F">
          <w:rPr>
            <w:rStyle w:val="Hyperlink"/>
            <w:rFonts w:ascii="Arial" w:hAnsi="Arial" w:cs="Arial"/>
            <w:sz w:val="24"/>
            <w:szCs w:val="24"/>
          </w:rPr>
          <w:t>meaghan@EWSNetwork.com</w:t>
        </w:r>
      </w:hyperlink>
      <w:r w:rsidR="007233C5" w:rsidRPr="00E4344F">
        <w:rPr>
          <w:rFonts w:ascii="Arial" w:hAnsi="Arial" w:cs="Arial"/>
          <w:sz w:val="24"/>
          <w:szCs w:val="24"/>
        </w:rPr>
        <w:t xml:space="preserve">   I   519-860-6727   I   </w:t>
      </w:r>
      <w:hyperlink r:id="rId11" w:history="1">
        <w:r w:rsidR="007233C5" w:rsidRPr="00E4344F">
          <w:rPr>
            <w:rStyle w:val="Hyperlink"/>
            <w:rFonts w:ascii="Arial" w:hAnsi="Arial" w:cs="Arial"/>
            <w:sz w:val="24"/>
            <w:szCs w:val="24"/>
          </w:rPr>
          <w:t>www.EWSNetwork.com</w:t>
        </w:r>
      </w:hyperlink>
      <w:r w:rsidR="007233C5" w:rsidRPr="00E4344F">
        <w:rPr>
          <w:rFonts w:ascii="Arial" w:hAnsi="Arial" w:cs="Arial"/>
          <w:sz w:val="24"/>
          <w:szCs w:val="24"/>
        </w:rPr>
        <w:t xml:space="preserve"> </w:t>
      </w:r>
    </w:p>
    <w:p w:rsidR="007233C5" w:rsidRPr="00E4344F" w:rsidRDefault="007233C5" w:rsidP="003B29AD">
      <w:pPr>
        <w:pStyle w:val="NoSpacing"/>
        <w:rPr>
          <w:rFonts w:ascii="Arial" w:hAnsi="Arial" w:cs="Arial"/>
          <w:b/>
          <w:sz w:val="32"/>
          <w:szCs w:val="32"/>
          <w:u w:val="single"/>
        </w:rPr>
      </w:pPr>
      <w:r w:rsidRPr="00E4344F">
        <w:rPr>
          <w:rFonts w:ascii="Arial" w:hAnsi="Arial" w:cs="Arial"/>
          <w:b/>
          <w:sz w:val="32"/>
          <w:szCs w:val="32"/>
          <w:u w:val="single"/>
        </w:rPr>
        <w:br w:type="page"/>
      </w:r>
      <w:r w:rsidRPr="00E4344F">
        <w:rPr>
          <w:rFonts w:ascii="Arial" w:hAnsi="Arial" w:cs="Arial"/>
          <w:b/>
          <w:sz w:val="32"/>
          <w:szCs w:val="32"/>
          <w:u w:val="single"/>
        </w:rPr>
        <w:lastRenderedPageBreak/>
        <w:t>Table of Contents</w:t>
      </w:r>
    </w:p>
    <w:p w:rsidR="007233C5" w:rsidRPr="00E4344F" w:rsidRDefault="007233C5" w:rsidP="00462F6A">
      <w:pPr>
        <w:pStyle w:val="NoSpacing"/>
        <w:ind w:left="1440"/>
        <w:rPr>
          <w:rFonts w:ascii="Arial" w:hAnsi="Arial" w:cs="Arial"/>
          <w:sz w:val="32"/>
          <w:szCs w:val="32"/>
        </w:rPr>
      </w:pPr>
    </w:p>
    <w:p w:rsidR="007233C5" w:rsidRPr="00E4344F" w:rsidRDefault="007233C5" w:rsidP="003B29AD">
      <w:pPr>
        <w:pStyle w:val="NoSpacing"/>
        <w:ind w:left="720"/>
        <w:rPr>
          <w:rFonts w:ascii="Arial" w:hAnsi="Arial" w:cs="Arial"/>
          <w:sz w:val="24"/>
          <w:szCs w:val="24"/>
        </w:rPr>
      </w:pPr>
      <w:r w:rsidRPr="00E4344F">
        <w:rPr>
          <w:rFonts w:ascii="Arial" w:hAnsi="Arial" w:cs="Arial"/>
          <w:sz w:val="24"/>
          <w:szCs w:val="24"/>
        </w:rPr>
        <w:t>Executive Overview</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3</w:t>
      </w:r>
      <w:r w:rsidRPr="00E4344F">
        <w:rPr>
          <w:rFonts w:ascii="Arial" w:hAnsi="Arial" w:cs="Arial"/>
          <w:sz w:val="24"/>
          <w:szCs w:val="24"/>
        </w:rPr>
        <w:tab/>
        <w:t xml:space="preserve"> </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p>
    <w:p w:rsidR="007233C5" w:rsidRPr="00E4344F" w:rsidRDefault="00E41D58" w:rsidP="003B29AD">
      <w:pPr>
        <w:pStyle w:val="NoSpacing"/>
        <w:ind w:left="720"/>
        <w:rPr>
          <w:rFonts w:ascii="Arial" w:hAnsi="Arial" w:cs="Arial"/>
          <w:sz w:val="24"/>
          <w:szCs w:val="24"/>
        </w:rPr>
      </w:pPr>
      <w:r>
        <w:rPr>
          <w:rFonts w:ascii="Arial" w:hAnsi="Arial" w:cs="Arial"/>
          <w:sz w:val="24"/>
          <w:szCs w:val="24"/>
        </w:rPr>
        <w:t>Program Highlights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3-6</w:t>
      </w:r>
      <w:r w:rsidR="007233C5" w:rsidRPr="00E4344F">
        <w:rPr>
          <w:rFonts w:ascii="Arial" w:hAnsi="Arial" w:cs="Arial"/>
          <w:sz w:val="24"/>
          <w:szCs w:val="24"/>
        </w:rPr>
        <w:tab/>
      </w:r>
      <w:r w:rsidR="007233C5" w:rsidRPr="00E4344F">
        <w:rPr>
          <w:rFonts w:ascii="Arial" w:hAnsi="Arial" w:cs="Arial"/>
          <w:sz w:val="24"/>
          <w:szCs w:val="24"/>
        </w:rPr>
        <w:tab/>
      </w:r>
    </w:p>
    <w:p w:rsidR="007233C5" w:rsidRPr="00E4344F" w:rsidRDefault="007233C5" w:rsidP="00F71E49">
      <w:pPr>
        <w:pStyle w:val="NoSpacing"/>
        <w:numPr>
          <w:ilvl w:val="6"/>
          <w:numId w:val="2"/>
        </w:numPr>
        <w:tabs>
          <w:tab w:val="clear" w:pos="9360"/>
          <w:tab w:val="num" w:pos="1870"/>
          <w:tab w:val="left" w:pos="7260"/>
        </w:tabs>
        <w:ind w:hanging="7930"/>
        <w:rPr>
          <w:rFonts w:ascii="Arial" w:hAnsi="Arial" w:cs="Arial"/>
          <w:sz w:val="24"/>
          <w:szCs w:val="24"/>
        </w:rPr>
      </w:pPr>
      <w:r w:rsidRPr="00E4344F">
        <w:rPr>
          <w:rFonts w:ascii="Arial" w:hAnsi="Arial" w:cs="Arial"/>
          <w:sz w:val="24"/>
          <w:szCs w:val="24"/>
        </w:rPr>
        <w:t>Health Coaching</w:t>
      </w:r>
    </w:p>
    <w:p w:rsidR="007233C5" w:rsidRPr="00E4344F" w:rsidRDefault="007233C5" w:rsidP="00F71E49">
      <w:pPr>
        <w:pStyle w:val="NoSpacing"/>
        <w:numPr>
          <w:ilvl w:val="6"/>
          <w:numId w:val="2"/>
        </w:numPr>
        <w:tabs>
          <w:tab w:val="clear" w:pos="9360"/>
          <w:tab w:val="num" w:pos="1870"/>
          <w:tab w:val="left" w:pos="7260"/>
        </w:tabs>
        <w:ind w:hanging="7930"/>
        <w:rPr>
          <w:rFonts w:ascii="Arial" w:hAnsi="Arial" w:cs="Arial"/>
          <w:sz w:val="24"/>
          <w:szCs w:val="24"/>
        </w:rPr>
      </w:pPr>
      <w:r w:rsidRPr="00E4344F">
        <w:rPr>
          <w:rFonts w:ascii="Arial" w:hAnsi="Arial" w:cs="Arial"/>
          <w:sz w:val="24"/>
          <w:szCs w:val="24"/>
        </w:rPr>
        <w:t>Personal Wellness Profile</w:t>
      </w:r>
      <w:r w:rsidRPr="00E4344F">
        <w:rPr>
          <w:rFonts w:ascii="Arial" w:hAnsi="Arial" w:cs="Arial"/>
          <w:sz w:val="24"/>
          <w:szCs w:val="24"/>
        </w:rPr>
        <w:tab/>
      </w:r>
    </w:p>
    <w:p w:rsidR="007233C5" w:rsidRPr="00E4344F" w:rsidRDefault="007233C5" w:rsidP="00F71E49">
      <w:pPr>
        <w:pStyle w:val="NoSpacing"/>
        <w:ind w:left="1430"/>
        <w:rPr>
          <w:rFonts w:ascii="Arial" w:hAnsi="Arial" w:cs="Arial"/>
          <w:sz w:val="24"/>
          <w:szCs w:val="24"/>
        </w:rPr>
      </w:pPr>
    </w:p>
    <w:p w:rsidR="007233C5" w:rsidRPr="00E4344F" w:rsidRDefault="007233C5" w:rsidP="003B29AD">
      <w:pPr>
        <w:pStyle w:val="NoSpacing"/>
        <w:ind w:left="720"/>
        <w:rPr>
          <w:rFonts w:ascii="Arial" w:hAnsi="Arial" w:cs="Arial"/>
          <w:sz w:val="24"/>
          <w:szCs w:val="24"/>
        </w:rPr>
      </w:pPr>
      <w:r>
        <w:rPr>
          <w:rFonts w:ascii="Arial" w:hAnsi="Arial" w:cs="Arial"/>
          <w:sz w:val="24"/>
          <w:szCs w:val="24"/>
        </w:rPr>
        <w:t>Summary and Programming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sidRPr="00E4344F">
        <w:rPr>
          <w:rFonts w:ascii="Arial" w:hAnsi="Arial" w:cs="Arial"/>
          <w:sz w:val="24"/>
          <w:szCs w:val="24"/>
        </w:rPr>
        <w:tab/>
        <w:t xml:space="preserve"> </w:t>
      </w:r>
    </w:p>
    <w:p w:rsidR="007233C5" w:rsidRPr="00E4344F" w:rsidRDefault="007233C5" w:rsidP="003B29AD">
      <w:pPr>
        <w:pStyle w:val="NoSpacing"/>
        <w:ind w:left="720"/>
        <w:rPr>
          <w:rFonts w:ascii="Arial" w:hAnsi="Arial" w:cs="Arial"/>
          <w:sz w:val="24"/>
          <w:szCs w:val="24"/>
        </w:rPr>
      </w:pPr>
    </w:p>
    <w:p w:rsidR="007233C5" w:rsidRPr="00E4344F" w:rsidRDefault="007233C5" w:rsidP="003B29AD">
      <w:pPr>
        <w:pStyle w:val="NoSpacing"/>
        <w:ind w:left="720"/>
        <w:rPr>
          <w:rFonts w:ascii="Arial" w:hAnsi="Arial" w:cs="Arial"/>
          <w:sz w:val="24"/>
          <w:szCs w:val="24"/>
        </w:rPr>
      </w:pPr>
      <w:r w:rsidRPr="00E4344F">
        <w:rPr>
          <w:rFonts w:ascii="Arial" w:hAnsi="Arial" w:cs="Arial"/>
          <w:sz w:val="24"/>
          <w:szCs w:val="24"/>
        </w:rPr>
        <w:t>Wellness Program Details</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Appendix A</w:t>
      </w:r>
    </w:p>
    <w:p w:rsidR="007233C5" w:rsidRPr="00E4344F" w:rsidRDefault="007233C5" w:rsidP="003B29AD">
      <w:pPr>
        <w:pStyle w:val="NoSpacing"/>
        <w:ind w:left="720"/>
        <w:rPr>
          <w:rFonts w:ascii="Arial" w:hAnsi="Arial" w:cs="Arial"/>
          <w:sz w:val="24"/>
          <w:szCs w:val="24"/>
        </w:rPr>
      </w:pPr>
      <w:r w:rsidRPr="00E4344F">
        <w:rPr>
          <w:rFonts w:ascii="Arial" w:hAnsi="Arial" w:cs="Arial"/>
          <w:sz w:val="24"/>
          <w:szCs w:val="24"/>
        </w:rPr>
        <w:t>Employee Wellness Solutions Network Toolbox</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Appendix B</w:t>
      </w:r>
    </w:p>
    <w:p w:rsidR="007233C5" w:rsidRPr="00E4344F" w:rsidRDefault="007233C5" w:rsidP="00891623">
      <w:pPr>
        <w:rPr>
          <w:rFonts w:ascii="Arial" w:hAnsi="Arial" w:cs="Arial"/>
          <w:b/>
          <w:sz w:val="28"/>
          <w:szCs w:val="28"/>
        </w:rPr>
      </w:pPr>
      <w:r w:rsidRPr="00E4344F">
        <w:rPr>
          <w:rFonts w:ascii="Arial" w:hAnsi="Arial" w:cs="Arial"/>
          <w:sz w:val="24"/>
          <w:szCs w:val="24"/>
        </w:rPr>
        <w:br w:type="page"/>
      </w:r>
      <w:r w:rsidRPr="00E4344F">
        <w:rPr>
          <w:rFonts w:ascii="Arial" w:hAnsi="Arial" w:cs="Arial"/>
          <w:b/>
          <w:sz w:val="28"/>
          <w:szCs w:val="28"/>
        </w:rPr>
        <w:lastRenderedPageBreak/>
        <w:t>Executive Overview</w:t>
      </w:r>
    </w:p>
    <w:p w:rsidR="007233C5" w:rsidRPr="00126ADE" w:rsidRDefault="007233C5" w:rsidP="00891623">
      <w:pPr>
        <w:rPr>
          <w:rFonts w:ascii="Arial" w:hAnsi="Arial" w:cs="Arial"/>
          <w:sz w:val="24"/>
          <w:szCs w:val="24"/>
          <w:u w:val="single"/>
        </w:rPr>
      </w:pPr>
      <w:r w:rsidRPr="00E4344F">
        <w:rPr>
          <w:rFonts w:ascii="Arial" w:hAnsi="Arial" w:cs="Arial"/>
          <w:sz w:val="24"/>
          <w:szCs w:val="24"/>
        </w:rPr>
        <w:t xml:space="preserve">The following progression report details the initiatives summary and participation rates during the months of </w:t>
      </w:r>
      <w:r w:rsidR="00D7614E">
        <w:rPr>
          <w:rFonts w:ascii="Arial" w:hAnsi="Arial" w:cs="Arial"/>
          <w:sz w:val="24"/>
          <w:szCs w:val="24"/>
          <w:u w:val="single"/>
        </w:rPr>
        <w:t>January – June 2011</w:t>
      </w:r>
      <w:r w:rsidRPr="00126ADE">
        <w:rPr>
          <w:rFonts w:ascii="Arial" w:hAnsi="Arial" w:cs="Arial"/>
          <w:sz w:val="24"/>
          <w:szCs w:val="24"/>
          <w:u w:val="single"/>
        </w:rPr>
        <w:t>.</w:t>
      </w:r>
    </w:p>
    <w:p w:rsidR="007233C5" w:rsidRPr="00E4344F" w:rsidRDefault="007233C5" w:rsidP="00891623">
      <w:pPr>
        <w:rPr>
          <w:rFonts w:ascii="Arial" w:hAnsi="Arial" w:cs="Arial"/>
          <w:sz w:val="24"/>
          <w:szCs w:val="24"/>
        </w:rPr>
      </w:pPr>
      <w:r w:rsidRPr="00E4344F">
        <w:rPr>
          <w:rFonts w:ascii="Arial" w:hAnsi="Arial" w:cs="Arial"/>
          <w:sz w:val="24"/>
          <w:szCs w:val="24"/>
        </w:rPr>
        <w:t>The on-site program is designed to address the employees at three different levels – individual, group, and general awareness.  Specific details of the wellness program can be seen in the Wellness Program Summary (Appendix A).</w:t>
      </w:r>
    </w:p>
    <w:p w:rsidR="007233C5" w:rsidRPr="00E4344F" w:rsidRDefault="007233C5" w:rsidP="00891623">
      <w:pPr>
        <w:rPr>
          <w:rFonts w:ascii="Arial" w:hAnsi="Arial" w:cs="Arial"/>
          <w:b/>
          <w:sz w:val="28"/>
          <w:szCs w:val="28"/>
        </w:rPr>
      </w:pPr>
    </w:p>
    <w:p w:rsidR="007233C5" w:rsidRPr="00E4344F" w:rsidRDefault="007233C5" w:rsidP="00891623">
      <w:pPr>
        <w:rPr>
          <w:rFonts w:ascii="Arial" w:hAnsi="Arial" w:cs="Arial"/>
          <w:b/>
          <w:sz w:val="28"/>
          <w:szCs w:val="28"/>
        </w:rPr>
      </w:pPr>
      <w:r w:rsidRPr="00E4344F">
        <w:rPr>
          <w:rFonts w:ascii="Arial" w:hAnsi="Arial" w:cs="Arial"/>
          <w:b/>
          <w:sz w:val="28"/>
          <w:szCs w:val="28"/>
        </w:rPr>
        <w:t>Program Highlights</w:t>
      </w:r>
    </w:p>
    <w:p w:rsidR="007233C5" w:rsidRDefault="007233C5" w:rsidP="00807340">
      <w:pPr>
        <w:rPr>
          <w:rFonts w:ascii="Arial" w:hAnsi="Arial" w:cs="Arial"/>
          <w:sz w:val="24"/>
          <w:szCs w:val="24"/>
        </w:rPr>
      </w:pPr>
      <w:r w:rsidRPr="00E4344F">
        <w:rPr>
          <w:rFonts w:ascii="Arial" w:hAnsi="Arial" w:cs="Arial"/>
          <w:sz w:val="24"/>
          <w:szCs w:val="24"/>
        </w:rPr>
        <w:t>Health Coaching (one-on-one wellness consultations)</w:t>
      </w:r>
    </w:p>
    <w:p w:rsidR="007233C5" w:rsidRDefault="007233C5" w:rsidP="00807340">
      <w:pPr>
        <w:numPr>
          <w:ilvl w:val="0"/>
          <w:numId w:val="20"/>
        </w:numPr>
        <w:rPr>
          <w:rFonts w:ascii="Arial" w:hAnsi="Arial" w:cs="Arial"/>
          <w:sz w:val="24"/>
          <w:szCs w:val="24"/>
        </w:rPr>
      </w:pPr>
      <w:r>
        <w:rPr>
          <w:rFonts w:ascii="Arial" w:hAnsi="Arial" w:cs="Arial"/>
          <w:sz w:val="24"/>
          <w:szCs w:val="24"/>
        </w:rPr>
        <w:t>For the last 6</w:t>
      </w:r>
      <w:r w:rsidRPr="00E4344F">
        <w:rPr>
          <w:rFonts w:ascii="Arial" w:hAnsi="Arial" w:cs="Arial"/>
          <w:sz w:val="24"/>
          <w:szCs w:val="24"/>
        </w:rPr>
        <w:t xml:space="preserve"> months, there has been a </w:t>
      </w:r>
      <w:r w:rsidR="00D7614E">
        <w:rPr>
          <w:rFonts w:ascii="Arial" w:hAnsi="Arial" w:cs="Arial"/>
          <w:sz w:val="24"/>
          <w:szCs w:val="24"/>
        </w:rPr>
        <w:t>97</w:t>
      </w:r>
      <w:r>
        <w:rPr>
          <w:rFonts w:ascii="Arial" w:hAnsi="Arial" w:cs="Arial"/>
          <w:sz w:val="24"/>
          <w:szCs w:val="24"/>
        </w:rPr>
        <w:t xml:space="preserve">% booking rate, </w:t>
      </w:r>
      <w:r w:rsidR="00D7614E">
        <w:rPr>
          <w:rFonts w:ascii="Arial" w:hAnsi="Arial" w:cs="Arial"/>
          <w:sz w:val="24"/>
          <w:szCs w:val="24"/>
        </w:rPr>
        <w:t>75</w:t>
      </w:r>
      <w:r>
        <w:rPr>
          <w:rFonts w:ascii="Arial" w:hAnsi="Arial" w:cs="Arial"/>
          <w:sz w:val="24"/>
          <w:szCs w:val="24"/>
        </w:rPr>
        <w:t xml:space="preserve">% attendance rate, leaving a </w:t>
      </w:r>
      <w:r w:rsidR="00D7614E">
        <w:rPr>
          <w:rFonts w:ascii="Arial" w:hAnsi="Arial" w:cs="Arial"/>
          <w:sz w:val="24"/>
          <w:szCs w:val="24"/>
        </w:rPr>
        <w:t>25</w:t>
      </w:r>
      <w:r w:rsidRPr="00E4344F">
        <w:rPr>
          <w:rFonts w:ascii="Arial" w:hAnsi="Arial" w:cs="Arial"/>
          <w:sz w:val="24"/>
          <w:szCs w:val="24"/>
        </w:rPr>
        <w:t>% cancellation rate with the consultations.</w:t>
      </w:r>
    </w:p>
    <w:p w:rsidR="007233C5" w:rsidRDefault="007233C5" w:rsidP="00807340">
      <w:pPr>
        <w:numPr>
          <w:ilvl w:val="2"/>
          <w:numId w:val="20"/>
        </w:numPr>
        <w:rPr>
          <w:rFonts w:ascii="Arial" w:hAnsi="Arial" w:cs="Arial"/>
          <w:sz w:val="24"/>
          <w:szCs w:val="24"/>
        </w:rPr>
      </w:pPr>
      <w:r w:rsidRPr="00E4344F">
        <w:rPr>
          <w:rFonts w:ascii="Arial" w:hAnsi="Arial" w:cs="Arial"/>
          <w:sz w:val="24"/>
          <w:szCs w:val="24"/>
        </w:rPr>
        <w:t xml:space="preserve">Since </w:t>
      </w:r>
      <w:r>
        <w:rPr>
          <w:rFonts w:ascii="Arial" w:hAnsi="Arial" w:cs="Arial"/>
          <w:sz w:val="24"/>
          <w:szCs w:val="24"/>
        </w:rPr>
        <w:t>J</w:t>
      </w:r>
      <w:r w:rsidR="00D7614E">
        <w:rPr>
          <w:rFonts w:ascii="Arial" w:hAnsi="Arial" w:cs="Arial"/>
          <w:sz w:val="24"/>
          <w:szCs w:val="24"/>
        </w:rPr>
        <w:t>anuary</w:t>
      </w:r>
      <w:r w:rsidRPr="00E4344F">
        <w:rPr>
          <w:rFonts w:ascii="Arial" w:hAnsi="Arial" w:cs="Arial"/>
          <w:sz w:val="24"/>
          <w:szCs w:val="24"/>
        </w:rPr>
        <w:t xml:space="preserve">, there have been </w:t>
      </w:r>
      <w:r w:rsidR="00D7614E">
        <w:rPr>
          <w:rFonts w:ascii="Arial" w:hAnsi="Arial" w:cs="Arial"/>
          <w:sz w:val="24"/>
          <w:szCs w:val="24"/>
        </w:rPr>
        <w:t>139</w:t>
      </w:r>
      <w:r w:rsidRPr="00E4344F">
        <w:rPr>
          <w:rFonts w:ascii="Arial" w:hAnsi="Arial" w:cs="Arial"/>
          <w:sz w:val="24"/>
          <w:szCs w:val="24"/>
        </w:rPr>
        <w:t xml:space="preserve"> attended out of</w:t>
      </w:r>
      <w:r w:rsidR="00D7614E">
        <w:rPr>
          <w:rFonts w:ascii="Arial" w:hAnsi="Arial" w:cs="Arial"/>
          <w:sz w:val="24"/>
          <w:szCs w:val="24"/>
        </w:rPr>
        <w:t xml:space="preserve"> 186</w:t>
      </w:r>
      <w:r>
        <w:rPr>
          <w:rFonts w:ascii="Arial" w:hAnsi="Arial" w:cs="Arial"/>
          <w:sz w:val="24"/>
          <w:szCs w:val="24"/>
        </w:rPr>
        <w:t xml:space="preserve"> booked [out of a possible 1</w:t>
      </w:r>
      <w:r w:rsidR="00D7614E">
        <w:rPr>
          <w:rFonts w:ascii="Arial" w:hAnsi="Arial" w:cs="Arial"/>
          <w:sz w:val="24"/>
          <w:szCs w:val="24"/>
        </w:rPr>
        <w:t>92</w:t>
      </w:r>
      <w:r>
        <w:rPr>
          <w:rFonts w:ascii="Arial" w:hAnsi="Arial" w:cs="Arial"/>
          <w:sz w:val="24"/>
          <w:szCs w:val="24"/>
        </w:rPr>
        <w:t xml:space="preserve">] leaving </w:t>
      </w:r>
      <w:r w:rsidR="00D7614E">
        <w:rPr>
          <w:rFonts w:ascii="Arial" w:hAnsi="Arial" w:cs="Arial"/>
          <w:sz w:val="24"/>
          <w:szCs w:val="24"/>
        </w:rPr>
        <w:t>47</w:t>
      </w:r>
      <w:r>
        <w:rPr>
          <w:rFonts w:ascii="Arial" w:hAnsi="Arial" w:cs="Arial"/>
          <w:sz w:val="24"/>
          <w:szCs w:val="24"/>
        </w:rPr>
        <w:t xml:space="preserve"> cancellations. Cancellations vary from workload, sickness or emergencies.</w:t>
      </w:r>
    </w:p>
    <w:p w:rsidR="007233C5" w:rsidRPr="00E4344F" w:rsidRDefault="007233C5" w:rsidP="00891623">
      <w:pPr>
        <w:numPr>
          <w:ilvl w:val="2"/>
          <w:numId w:val="3"/>
        </w:numPr>
        <w:spacing w:after="0" w:line="240" w:lineRule="auto"/>
        <w:rPr>
          <w:rFonts w:ascii="Arial" w:hAnsi="Arial" w:cs="Arial"/>
          <w:sz w:val="24"/>
          <w:szCs w:val="24"/>
        </w:rPr>
      </w:pPr>
      <w:r>
        <w:rPr>
          <w:rFonts w:ascii="Arial" w:hAnsi="Arial" w:cs="Arial"/>
          <w:sz w:val="24"/>
          <w:szCs w:val="24"/>
        </w:rPr>
        <w:t>Graphs can be seen below demonstrating these numbers.</w:t>
      </w:r>
    </w:p>
    <w:p w:rsidR="007233C5" w:rsidRPr="00E4344F" w:rsidRDefault="007233C5" w:rsidP="00891623">
      <w:pPr>
        <w:rPr>
          <w:rFonts w:ascii="Arial" w:hAnsi="Arial" w:cs="Arial"/>
          <w:sz w:val="24"/>
          <w:szCs w:val="24"/>
        </w:rPr>
      </w:pPr>
    </w:p>
    <w:p w:rsidR="007233C5" w:rsidRDefault="001D6E11" w:rsidP="00D317ED">
      <w:pPr>
        <w:jc w:val="center"/>
        <w:rPr>
          <w:rFonts w:ascii="Arial" w:hAnsi="Arial" w:cs="Arial"/>
          <w:b/>
          <w:sz w:val="24"/>
          <w:szCs w:val="24"/>
          <w:u w:val="single"/>
        </w:rPr>
      </w:pPr>
      <w:r>
        <w:rPr>
          <w:noProof/>
        </w:rPr>
        <w:drawing>
          <wp:anchor distT="0" distB="0" distL="114300" distR="114300" simplePos="0" relativeHeight="251657216" behindDoc="0" locked="0" layoutInCell="1" allowOverlap="1" wp14:anchorId="447B7B8F" wp14:editId="503FF297">
            <wp:simplePos x="0" y="0"/>
            <wp:positionH relativeFrom="column">
              <wp:posOffset>923290</wp:posOffset>
            </wp:positionH>
            <wp:positionV relativeFrom="paragraph">
              <wp:posOffset>90170</wp:posOffset>
            </wp:positionV>
            <wp:extent cx="4091305" cy="1776730"/>
            <wp:effectExtent l="38100" t="38100" r="42545" b="52070"/>
            <wp:wrapNone/>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7233C5" w:rsidRPr="00807340" w:rsidRDefault="007233C5" w:rsidP="00807340">
      <w:pPr>
        <w:rPr>
          <w:rFonts w:ascii="Arial" w:hAnsi="Arial" w:cs="Arial"/>
          <w:sz w:val="24"/>
          <w:szCs w:val="24"/>
        </w:rPr>
      </w:pPr>
    </w:p>
    <w:p w:rsidR="007233C5" w:rsidRPr="00807340" w:rsidRDefault="007233C5" w:rsidP="00807340">
      <w:pPr>
        <w:rPr>
          <w:rFonts w:ascii="Arial" w:hAnsi="Arial" w:cs="Arial"/>
          <w:sz w:val="24"/>
          <w:szCs w:val="24"/>
        </w:rPr>
      </w:pPr>
    </w:p>
    <w:p w:rsidR="007233C5" w:rsidRPr="00807340" w:rsidRDefault="007233C5" w:rsidP="00807340">
      <w:pPr>
        <w:rPr>
          <w:rFonts w:ascii="Arial" w:hAnsi="Arial" w:cs="Arial"/>
          <w:sz w:val="24"/>
          <w:szCs w:val="24"/>
        </w:rPr>
      </w:pPr>
    </w:p>
    <w:p w:rsidR="007233C5" w:rsidRDefault="007233C5" w:rsidP="00807340">
      <w:pPr>
        <w:tabs>
          <w:tab w:val="left" w:pos="3915"/>
        </w:tabs>
        <w:rPr>
          <w:noProof/>
        </w:rPr>
      </w:pPr>
      <w:r>
        <w:rPr>
          <w:rFonts w:ascii="Arial" w:hAnsi="Arial" w:cs="Arial"/>
          <w:sz w:val="24"/>
          <w:szCs w:val="24"/>
        </w:rPr>
        <w:tab/>
      </w:r>
    </w:p>
    <w:p w:rsidR="007233C5" w:rsidRDefault="007233C5" w:rsidP="00D317ED">
      <w:pPr>
        <w:jc w:val="center"/>
        <w:rPr>
          <w:noProof/>
        </w:rPr>
      </w:pPr>
    </w:p>
    <w:p w:rsidR="0041608E" w:rsidRPr="0041608E" w:rsidRDefault="001D6E11" w:rsidP="0041608E">
      <w:pPr>
        <w:ind w:left="1440"/>
        <w:rPr>
          <w:rFonts w:ascii="Arial" w:hAnsi="Arial" w:cs="Arial"/>
          <w:sz w:val="24"/>
          <w:szCs w:val="24"/>
        </w:rPr>
      </w:pPr>
      <w:r>
        <w:rPr>
          <w:noProof/>
        </w:rPr>
        <w:drawing>
          <wp:anchor distT="0" distB="0" distL="114300" distR="114300" simplePos="0" relativeHeight="251660288" behindDoc="0" locked="0" layoutInCell="1" allowOverlap="1" wp14:anchorId="6FC4574A" wp14:editId="5A55A9EB">
            <wp:simplePos x="0" y="0"/>
            <wp:positionH relativeFrom="column">
              <wp:posOffset>695325</wp:posOffset>
            </wp:positionH>
            <wp:positionV relativeFrom="paragraph">
              <wp:posOffset>24130</wp:posOffset>
            </wp:positionV>
            <wp:extent cx="4400550" cy="1895475"/>
            <wp:effectExtent l="57150" t="57150" r="38100" b="47625"/>
            <wp:wrapNone/>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r>
        <w:rPr>
          <w:noProof/>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-290830</wp:posOffset>
            </wp:positionV>
            <wp:extent cx="6219825" cy="2733675"/>
            <wp:effectExtent l="0" t="0" r="0" b="0"/>
            <wp:wrapNone/>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41608E" w:rsidRDefault="0041608E" w:rsidP="0041608E">
      <w:pPr>
        <w:rPr>
          <w:rFonts w:ascii="Arial" w:hAnsi="Arial" w:cs="Arial"/>
          <w:sz w:val="24"/>
          <w:szCs w:val="24"/>
        </w:rPr>
      </w:pPr>
    </w:p>
    <w:p w:rsidR="00FF5BCB" w:rsidRDefault="00FF5BCB" w:rsidP="0041608E">
      <w:pPr>
        <w:rPr>
          <w:rFonts w:ascii="Arial" w:hAnsi="Arial" w:cs="Arial"/>
          <w:sz w:val="24"/>
          <w:szCs w:val="24"/>
        </w:rPr>
      </w:pPr>
    </w:p>
    <w:p w:rsidR="0041608E" w:rsidRDefault="0041608E" w:rsidP="0041608E">
      <w:pPr>
        <w:rPr>
          <w:rFonts w:ascii="Arial" w:hAnsi="Arial" w:cs="Arial"/>
          <w:sz w:val="24"/>
          <w:szCs w:val="24"/>
        </w:rPr>
      </w:pPr>
      <w:r>
        <w:rPr>
          <w:rFonts w:ascii="Arial" w:hAnsi="Arial" w:cs="Arial"/>
          <w:sz w:val="24"/>
          <w:szCs w:val="24"/>
        </w:rPr>
        <w:t>During this reporting period, there are a few differences noticed compared to last reporting period [June-Dec 2010]:</w:t>
      </w:r>
    </w:p>
    <w:p w:rsidR="0041608E" w:rsidRDefault="0041608E" w:rsidP="0041608E">
      <w:pPr>
        <w:numPr>
          <w:ilvl w:val="0"/>
          <w:numId w:val="22"/>
        </w:numPr>
        <w:rPr>
          <w:rFonts w:ascii="Arial" w:hAnsi="Arial" w:cs="Arial"/>
          <w:sz w:val="24"/>
          <w:szCs w:val="24"/>
        </w:rPr>
      </w:pPr>
      <w:r>
        <w:rPr>
          <w:rFonts w:ascii="Arial" w:hAnsi="Arial" w:cs="Arial"/>
          <w:sz w:val="24"/>
          <w:szCs w:val="24"/>
        </w:rPr>
        <w:t>Cancellation rates have increased [8% to 25%] but are still lower than the cancellation rates during the reporting period of Jan-June 2010 [29%].</w:t>
      </w:r>
    </w:p>
    <w:p w:rsidR="0041608E" w:rsidRDefault="0041608E" w:rsidP="0041608E">
      <w:pPr>
        <w:numPr>
          <w:ilvl w:val="0"/>
          <w:numId w:val="22"/>
        </w:numPr>
        <w:rPr>
          <w:rFonts w:ascii="Arial" w:hAnsi="Arial" w:cs="Arial"/>
          <w:sz w:val="24"/>
          <w:szCs w:val="24"/>
        </w:rPr>
      </w:pPr>
      <w:r>
        <w:rPr>
          <w:rFonts w:ascii="Arial" w:hAnsi="Arial" w:cs="Arial"/>
          <w:sz w:val="24"/>
          <w:szCs w:val="24"/>
        </w:rPr>
        <w:t xml:space="preserve">Higher booking rate than last reporting period [97% vs 89%]. </w:t>
      </w:r>
    </w:p>
    <w:p w:rsidR="0041608E" w:rsidRDefault="0041608E" w:rsidP="0041608E">
      <w:pPr>
        <w:ind w:left="360"/>
        <w:rPr>
          <w:rFonts w:ascii="Arial" w:hAnsi="Arial" w:cs="Arial"/>
          <w:sz w:val="24"/>
          <w:szCs w:val="24"/>
        </w:rPr>
      </w:pPr>
    </w:p>
    <w:p w:rsidR="007233C5" w:rsidRPr="00E4344F" w:rsidRDefault="00545A51" w:rsidP="0054478D">
      <w:pPr>
        <w:rPr>
          <w:rFonts w:ascii="Arial" w:hAnsi="Arial" w:cs="Arial"/>
          <w:b/>
          <w:sz w:val="24"/>
          <w:szCs w:val="24"/>
        </w:rPr>
      </w:pPr>
      <w:r>
        <w:rPr>
          <w:rFonts w:ascii="Arial" w:hAnsi="Arial" w:cs="Arial"/>
          <w:b/>
          <w:sz w:val="24"/>
          <w:szCs w:val="24"/>
        </w:rPr>
        <w:t>P</w:t>
      </w:r>
      <w:r w:rsidR="007233C5" w:rsidRPr="00E4344F">
        <w:rPr>
          <w:rFonts w:ascii="Arial" w:hAnsi="Arial" w:cs="Arial"/>
          <w:b/>
          <w:sz w:val="24"/>
          <w:szCs w:val="24"/>
        </w:rPr>
        <w:t>ersonal Wellness Profile (PWP)</w:t>
      </w:r>
    </w:p>
    <w:p w:rsidR="007233C5" w:rsidRPr="00CE4086" w:rsidRDefault="007233C5" w:rsidP="0054478D">
      <w:pPr>
        <w:numPr>
          <w:ilvl w:val="0"/>
          <w:numId w:val="4"/>
        </w:numPr>
        <w:tabs>
          <w:tab w:val="clear" w:pos="2160"/>
          <w:tab w:val="num" w:pos="720"/>
        </w:tabs>
        <w:spacing w:after="0" w:line="240" w:lineRule="auto"/>
        <w:ind w:left="720"/>
        <w:rPr>
          <w:rFonts w:ascii="Arial" w:hAnsi="Arial" w:cs="Arial"/>
          <w:sz w:val="24"/>
          <w:szCs w:val="24"/>
        </w:rPr>
      </w:pPr>
      <w:r w:rsidRPr="00CE4086">
        <w:rPr>
          <w:rFonts w:ascii="Arial" w:hAnsi="Arial" w:cs="Arial"/>
          <w:sz w:val="24"/>
          <w:szCs w:val="24"/>
        </w:rPr>
        <w:t xml:space="preserve">The </w:t>
      </w:r>
      <w:r w:rsidRPr="00CE4086">
        <w:rPr>
          <w:rFonts w:ascii="Arial" w:hAnsi="Arial" w:cs="Arial"/>
          <w:color w:val="000000"/>
          <w:sz w:val="24"/>
          <w:szCs w:val="24"/>
        </w:rPr>
        <w:t>Personal Wellness P</w:t>
      </w:r>
      <w:r w:rsidR="00FF5BCB">
        <w:rPr>
          <w:rFonts w:ascii="Arial" w:hAnsi="Arial" w:cs="Arial"/>
          <w:color w:val="000000"/>
          <w:sz w:val="24"/>
          <w:szCs w:val="24"/>
        </w:rPr>
        <w:t xml:space="preserve">rofile campaign ran in 2009, </w:t>
      </w:r>
      <w:r w:rsidRPr="00CE4086">
        <w:rPr>
          <w:rFonts w:ascii="Arial" w:hAnsi="Arial" w:cs="Arial"/>
          <w:color w:val="000000"/>
          <w:sz w:val="24"/>
          <w:szCs w:val="24"/>
        </w:rPr>
        <w:t>2010</w:t>
      </w:r>
      <w:r w:rsidR="00FF5BCB">
        <w:rPr>
          <w:rFonts w:ascii="Arial" w:hAnsi="Arial" w:cs="Arial"/>
          <w:color w:val="000000"/>
          <w:sz w:val="24"/>
          <w:szCs w:val="24"/>
        </w:rPr>
        <w:t>, and 2011</w:t>
      </w:r>
      <w:r w:rsidRPr="00CE4086">
        <w:rPr>
          <w:rFonts w:ascii="Arial" w:hAnsi="Arial" w:cs="Arial"/>
          <w:color w:val="000000"/>
          <w:sz w:val="24"/>
          <w:szCs w:val="24"/>
        </w:rPr>
        <w:t>.</w:t>
      </w:r>
    </w:p>
    <w:p w:rsidR="007233C5" w:rsidRPr="00CE4086" w:rsidRDefault="00545A51" w:rsidP="0054478D">
      <w:pPr>
        <w:numPr>
          <w:ilvl w:val="0"/>
          <w:numId w:val="4"/>
        </w:numPr>
        <w:tabs>
          <w:tab w:val="clear" w:pos="2160"/>
          <w:tab w:val="num" w:pos="720"/>
        </w:tabs>
        <w:spacing w:after="0" w:line="240" w:lineRule="auto"/>
        <w:ind w:left="720"/>
        <w:rPr>
          <w:rFonts w:ascii="Arial" w:hAnsi="Arial" w:cs="Arial"/>
          <w:sz w:val="24"/>
          <w:szCs w:val="24"/>
        </w:rPr>
      </w:pPr>
      <w:r>
        <w:rPr>
          <w:rFonts w:ascii="Arial" w:hAnsi="Arial" w:cs="Arial"/>
          <w:sz w:val="24"/>
          <w:szCs w:val="24"/>
        </w:rPr>
        <w:t>In total, 42</w:t>
      </w:r>
      <w:r w:rsidR="007233C5">
        <w:rPr>
          <w:rFonts w:ascii="Arial" w:hAnsi="Arial" w:cs="Arial"/>
          <w:sz w:val="24"/>
          <w:szCs w:val="24"/>
        </w:rPr>
        <w:t>% of the population</w:t>
      </w:r>
      <w:r>
        <w:rPr>
          <w:rFonts w:ascii="Arial" w:hAnsi="Arial" w:cs="Arial"/>
          <w:sz w:val="24"/>
          <w:szCs w:val="24"/>
        </w:rPr>
        <w:t xml:space="preserve"> participated in the 2011</w:t>
      </w:r>
      <w:r w:rsidR="007233C5" w:rsidRPr="00CE4086">
        <w:rPr>
          <w:rFonts w:ascii="Arial" w:hAnsi="Arial" w:cs="Arial"/>
          <w:sz w:val="24"/>
          <w:szCs w:val="24"/>
        </w:rPr>
        <w:t xml:space="preserve"> campaign.</w:t>
      </w:r>
    </w:p>
    <w:p w:rsidR="007233C5" w:rsidRDefault="007233C5" w:rsidP="0054478D">
      <w:pPr>
        <w:numPr>
          <w:ilvl w:val="0"/>
          <w:numId w:val="4"/>
        </w:numPr>
        <w:tabs>
          <w:tab w:val="clear" w:pos="2160"/>
          <w:tab w:val="num" w:pos="720"/>
        </w:tabs>
        <w:spacing w:after="0" w:line="240" w:lineRule="auto"/>
        <w:ind w:left="720"/>
        <w:rPr>
          <w:rFonts w:ascii="Arial" w:hAnsi="Arial" w:cs="Arial"/>
          <w:sz w:val="24"/>
          <w:szCs w:val="24"/>
        </w:rPr>
      </w:pPr>
      <w:r w:rsidRPr="00CE4086">
        <w:rPr>
          <w:rFonts w:ascii="Arial" w:hAnsi="Arial" w:cs="Arial"/>
          <w:sz w:val="24"/>
          <w:szCs w:val="24"/>
        </w:rPr>
        <w:t>Individual reports were available for the participants and corporate summary reports were submitted to management.</w:t>
      </w:r>
    </w:p>
    <w:p w:rsidR="007233C5" w:rsidRPr="00CE4086" w:rsidRDefault="007233C5" w:rsidP="0054478D">
      <w:pPr>
        <w:numPr>
          <w:ilvl w:val="0"/>
          <w:numId w:val="4"/>
        </w:numPr>
        <w:tabs>
          <w:tab w:val="clear" w:pos="2160"/>
          <w:tab w:val="num" w:pos="720"/>
        </w:tabs>
        <w:spacing w:after="0" w:line="240" w:lineRule="auto"/>
        <w:ind w:left="720"/>
        <w:rPr>
          <w:rFonts w:ascii="Arial" w:hAnsi="Arial" w:cs="Arial"/>
          <w:sz w:val="24"/>
          <w:szCs w:val="24"/>
        </w:rPr>
      </w:pPr>
      <w:r w:rsidRPr="00CE4086">
        <w:rPr>
          <w:rFonts w:ascii="Arial" w:hAnsi="Arial" w:cs="Arial"/>
          <w:sz w:val="24"/>
          <w:szCs w:val="24"/>
        </w:rPr>
        <w:t>The wellness committee and Employee Wellness Solutions Network designed the wellness program in accordance with the PWP findings and committee feedback.</w:t>
      </w:r>
    </w:p>
    <w:p w:rsidR="007233C5" w:rsidRPr="00CE4086" w:rsidRDefault="00545A51" w:rsidP="0054478D">
      <w:pPr>
        <w:numPr>
          <w:ilvl w:val="0"/>
          <w:numId w:val="4"/>
        </w:numPr>
        <w:tabs>
          <w:tab w:val="clear" w:pos="2160"/>
          <w:tab w:val="num" w:pos="720"/>
        </w:tabs>
        <w:spacing w:after="0" w:line="240" w:lineRule="auto"/>
        <w:ind w:left="720"/>
        <w:rPr>
          <w:rFonts w:ascii="Arial" w:hAnsi="Arial" w:cs="Arial"/>
          <w:sz w:val="24"/>
          <w:szCs w:val="24"/>
        </w:rPr>
      </w:pPr>
      <w:r>
        <w:rPr>
          <w:rFonts w:ascii="Arial" w:hAnsi="Arial" w:cs="Arial"/>
          <w:sz w:val="24"/>
          <w:szCs w:val="24"/>
        </w:rPr>
        <w:t>A full summary can be viewed in the PWP section of this report.</w:t>
      </w:r>
    </w:p>
    <w:p w:rsidR="007233C5" w:rsidRPr="00E4344F" w:rsidRDefault="007233C5" w:rsidP="0054478D">
      <w:pPr>
        <w:rPr>
          <w:rFonts w:ascii="Arial" w:hAnsi="Arial" w:cs="Arial"/>
          <w:b/>
          <w:sz w:val="24"/>
          <w:szCs w:val="24"/>
        </w:rPr>
      </w:pPr>
    </w:p>
    <w:p w:rsidR="003C7B5C" w:rsidRDefault="003C7B5C" w:rsidP="0054478D">
      <w:pPr>
        <w:rPr>
          <w:rFonts w:ascii="Arial" w:hAnsi="Arial" w:cs="Arial"/>
          <w:b/>
          <w:sz w:val="24"/>
          <w:szCs w:val="24"/>
        </w:rPr>
      </w:pPr>
    </w:p>
    <w:p w:rsidR="003C7B5C" w:rsidRDefault="003C7B5C" w:rsidP="0054478D">
      <w:pPr>
        <w:rPr>
          <w:rFonts w:ascii="Arial" w:hAnsi="Arial" w:cs="Arial"/>
          <w:b/>
          <w:sz w:val="24"/>
          <w:szCs w:val="24"/>
        </w:rPr>
      </w:pPr>
    </w:p>
    <w:p w:rsidR="003C7B5C" w:rsidRDefault="003C7B5C" w:rsidP="0054478D">
      <w:pPr>
        <w:rPr>
          <w:rFonts w:ascii="Arial" w:hAnsi="Arial" w:cs="Arial"/>
          <w:b/>
          <w:sz w:val="24"/>
          <w:szCs w:val="24"/>
        </w:rPr>
      </w:pPr>
    </w:p>
    <w:p w:rsidR="003C7B5C" w:rsidRDefault="003C7B5C" w:rsidP="0054478D">
      <w:pPr>
        <w:rPr>
          <w:rFonts w:ascii="Arial" w:hAnsi="Arial" w:cs="Arial"/>
          <w:b/>
          <w:sz w:val="24"/>
          <w:szCs w:val="24"/>
        </w:rPr>
      </w:pPr>
    </w:p>
    <w:p w:rsidR="003C7B5C" w:rsidRDefault="003C7B5C" w:rsidP="0054478D">
      <w:pPr>
        <w:rPr>
          <w:rFonts w:ascii="Arial" w:hAnsi="Arial" w:cs="Arial"/>
          <w:b/>
          <w:sz w:val="24"/>
          <w:szCs w:val="24"/>
        </w:rPr>
      </w:pPr>
    </w:p>
    <w:p w:rsidR="003C7B5C" w:rsidRDefault="003C7B5C" w:rsidP="0054478D">
      <w:pPr>
        <w:rPr>
          <w:rFonts w:ascii="Arial" w:hAnsi="Arial" w:cs="Arial"/>
          <w:b/>
          <w:sz w:val="24"/>
          <w:szCs w:val="24"/>
        </w:rPr>
      </w:pPr>
    </w:p>
    <w:p w:rsidR="003C7B5C" w:rsidRDefault="003C7B5C" w:rsidP="0054478D">
      <w:pPr>
        <w:rPr>
          <w:rFonts w:ascii="Arial" w:hAnsi="Arial" w:cs="Arial"/>
          <w:b/>
          <w:sz w:val="24"/>
          <w:szCs w:val="24"/>
        </w:rPr>
      </w:pPr>
    </w:p>
    <w:p w:rsidR="007233C5" w:rsidRPr="003C7B5C" w:rsidRDefault="007233C5" w:rsidP="0054478D">
      <w:pPr>
        <w:rPr>
          <w:rFonts w:ascii="Arial" w:hAnsi="Arial" w:cs="Arial"/>
          <w:b/>
          <w:sz w:val="24"/>
          <w:szCs w:val="24"/>
        </w:rPr>
      </w:pPr>
      <w:r w:rsidRPr="003C7B5C">
        <w:rPr>
          <w:rFonts w:ascii="Arial" w:hAnsi="Arial" w:cs="Arial"/>
          <w:b/>
          <w:sz w:val="24"/>
          <w:szCs w:val="24"/>
        </w:rPr>
        <w:lastRenderedPageBreak/>
        <w:t>PWP Summary</w:t>
      </w:r>
    </w:p>
    <w:tbl>
      <w:tblPr>
        <w:tblStyle w:val="TableGrid"/>
        <w:tblW w:w="9360" w:type="dxa"/>
        <w:tblInd w:w="108" w:type="dxa"/>
        <w:tblLook w:val="01E0" w:firstRow="1" w:lastRow="1" w:firstColumn="1" w:lastColumn="1" w:noHBand="0" w:noVBand="0"/>
      </w:tblPr>
      <w:tblGrid>
        <w:gridCol w:w="2128"/>
        <w:gridCol w:w="1808"/>
        <w:gridCol w:w="1808"/>
        <w:gridCol w:w="1808"/>
        <w:gridCol w:w="1808"/>
      </w:tblGrid>
      <w:tr w:rsidR="004A5F16" w:rsidRPr="003C7B5C" w:rsidTr="003C7B5C">
        <w:tc>
          <w:tcPr>
            <w:tcW w:w="2128" w:type="dxa"/>
            <w:shd w:val="clear" w:color="auto" w:fill="D9D9D9" w:themeFill="background1" w:themeFillShade="D9"/>
            <w:vAlign w:val="center"/>
          </w:tcPr>
          <w:p w:rsidR="004A5F16" w:rsidRPr="003C7B5C" w:rsidRDefault="004A5F16" w:rsidP="003C7B5C">
            <w:pPr>
              <w:pStyle w:val="NoSpacing"/>
              <w:rPr>
                <w:rFonts w:ascii="Arial" w:hAnsi="Arial" w:cs="Arial"/>
                <w:b/>
                <w:sz w:val="22"/>
                <w:szCs w:val="22"/>
              </w:rPr>
            </w:pPr>
            <w:r w:rsidRPr="003C7B5C">
              <w:rPr>
                <w:rFonts w:ascii="Arial" w:hAnsi="Arial" w:cs="Arial"/>
                <w:b/>
                <w:sz w:val="22"/>
                <w:szCs w:val="22"/>
              </w:rPr>
              <w:t>Health Risk</w:t>
            </w:r>
          </w:p>
        </w:tc>
        <w:tc>
          <w:tcPr>
            <w:tcW w:w="1808" w:type="dxa"/>
            <w:shd w:val="clear" w:color="auto" w:fill="D9D9D9" w:themeFill="background1" w:themeFillShade="D9"/>
            <w:vAlign w:val="center"/>
          </w:tcPr>
          <w:p w:rsidR="004A5F16" w:rsidRPr="003C7B5C" w:rsidRDefault="004A5F16" w:rsidP="003C7B5C">
            <w:pPr>
              <w:pStyle w:val="NoSpacing"/>
              <w:jc w:val="center"/>
              <w:rPr>
                <w:rFonts w:ascii="Arial" w:hAnsi="Arial" w:cs="Arial"/>
                <w:b/>
                <w:sz w:val="22"/>
                <w:szCs w:val="22"/>
              </w:rPr>
            </w:pPr>
            <w:r w:rsidRPr="003C7B5C">
              <w:rPr>
                <w:rFonts w:ascii="Arial" w:hAnsi="Arial" w:cs="Arial"/>
                <w:b/>
                <w:sz w:val="22"/>
                <w:szCs w:val="22"/>
              </w:rPr>
              <w:t>2009</w:t>
            </w:r>
          </w:p>
          <w:p w:rsidR="004A5F16" w:rsidRPr="003C7B5C" w:rsidRDefault="004A5F16" w:rsidP="003C7B5C">
            <w:pPr>
              <w:pStyle w:val="NoSpacing"/>
              <w:jc w:val="center"/>
              <w:rPr>
                <w:rFonts w:ascii="Arial" w:hAnsi="Arial" w:cs="Arial"/>
                <w:b/>
                <w:sz w:val="22"/>
                <w:szCs w:val="22"/>
              </w:rPr>
            </w:pPr>
            <w:r w:rsidRPr="003C7B5C">
              <w:rPr>
                <w:rFonts w:ascii="Arial" w:hAnsi="Arial" w:cs="Arial"/>
                <w:b/>
                <w:sz w:val="22"/>
                <w:szCs w:val="22"/>
              </w:rPr>
              <w:t>Participation [43%]</w:t>
            </w:r>
          </w:p>
        </w:tc>
        <w:tc>
          <w:tcPr>
            <w:tcW w:w="1808" w:type="dxa"/>
            <w:shd w:val="clear" w:color="auto" w:fill="D9D9D9" w:themeFill="background1" w:themeFillShade="D9"/>
            <w:vAlign w:val="center"/>
          </w:tcPr>
          <w:p w:rsidR="004A5F16" w:rsidRPr="003C7B5C" w:rsidRDefault="004A5F16" w:rsidP="003C7B5C">
            <w:pPr>
              <w:pStyle w:val="NoSpacing"/>
              <w:jc w:val="center"/>
              <w:rPr>
                <w:rFonts w:ascii="Arial" w:hAnsi="Arial" w:cs="Arial"/>
                <w:b/>
                <w:sz w:val="22"/>
                <w:szCs w:val="22"/>
              </w:rPr>
            </w:pPr>
            <w:r w:rsidRPr="003C7B5C">
              <w:rPr>
                <w:rFonts w:ascii="Arial" w:hAnsi="Arial" w:cs="Arial"/>
                <w:b/>
                <w:sz w:val="22"/>
                <w:szCs w:val="22"/>
              </w:rPr>
              <w:t>2010</w:t>
            </w:r>
          </w:p>
          <w:p w:rsidR="004A5F16" w:rsidRPr="003C7B5C" w:rsidRDefault="004A5F16" w:rsidP="003C7B5C">
            <w:pPr>
              <w:pStyle w:val="NoSpacing"/>
              <w:jc w:val="center"/>
              <w:rPr>
                <w:rFonts w:ascii="Arial" w:hAnsi="Arial" w:cs="Arial"/>
                <w:b/>
                <w:sz w:val="22"/>
                <w:szCs w:val="22"/>
              </w:rPr>
            </w:pPr>
            <w:r w:rsidRPr="003C7B5C">
              <w:rPr>
                <w:rFonts w:ascii="Arial" w:hAnsi="Arial" w:cs="Arial"/>
                <w:b/>
                <w:sz w:val="22"/>
                <w:szCs w:val="22"/>
              </w:rPr>
              <w:t>Participation [45%]</w:t>
            </w:r>
          </w:p>
        </w:tc>
        <w:tc>
          <w:tcPr>
            <w:tcW w:w="1808" w:type="dxa"/>
            <w:shd w:val="clear" w:color="auto" w:fill="D9D9D9" w:themeFill="background1" w:themeFillShade="D9"/>
            <w:vAlign w:val="center"/>
          </w:tcPr>
          <w:p w:rsidR="004A5F16" w:rsidRPr="003C7B5C" w:rsidRDefault="004A5F16" w:rsidP="003C7B5C">
            <w:pPr>
              <w:pStyle w:val="NoSpacing"/>
              <w:jc w:val="center"/>
              <w:rPr>
                <w:rFonts w:ascii="Arial" w:hAnsi="Arial" w:cs="Arial"/>
                <w:b/>
                <w:sz w:val="22"/>
                <w:szCs w:val="22"/>
              </w:rPr>
            </w:pPr>
            <w:r w:rsidRPr="003C7B5C">
              <w:rPr>
                <w:rFonts w:ascii="Arial" w:hAnsi="Arial" w:cs="Arial"/>
                <w:b/>
                <w:sz w:val="22"/>
                <w:szCs w:val="22"/>
              </w:rPr>
              <w:t>2011</w:t>
            </w:r>
          </w:p>
          <w:p w:rsidR="004A5F16" w:rsidRPr="003C7B5C" w:rsidRDefault="004A5F16" w:rsidP="003C7B5C">
            <w:pPr>
              <w:pStyle w:val="NoSpacing"/>
              <w:jc w:val="center"/>
              <w:rPr>
                <w:rFonts w:ascii="Arial" w:hAnsi="Arial" w:cs="Arial"/>
                <w:b/>
                <w:sz w:val="22"/>
                <w:szCs w:val="22"/>
              </w:rPr>
            </w:pPr>
            <w:r w:rsidRPr="003C7B5C">
              <w:rPr>
                <w:rFonts w:ascii="Arial" w:hAnsi="Arial" w:cs="Arial"/>
                <w:b/>
                <w:sz w:val="22"/>
                <w:szCs w:val="22"/>
              </w:rPr>
              <w:t>Participation [42%]</w:t>
            </w:r>
          </w:p>
        </w:tc>
        <w:tc>
          <w:tcPr>
            <w:tcW w:w="1808" w:type="dxa"/>
            <w:shd w:val="clear" w:color="auto" w:fill="D9D9D9" w:themeFill="background1" w:themeFillShade="D9"/>
            <w:vAlign w:val="center"/>
          </w:tcPr>
          <w:p w:rsidR="00D11AAD" w:rsidRPr="003C7B5C" w:rsidRDefault="00D11AAD" w:rsidP="003C7B5C">
            <w:pPr>
              <w:pStyle w:val="NoSpacing"/>
              <w:jc w:val="center"/>
              <w:rPr>
                <w:rFonts w:ascii="Arial" w:hAnsi="Arial" w:cs="Arial"/>
                <w:b/>
                <w:sz w:val="22"/>
                <w:szCs w:val="22"/>
              </w:rPr>
            </w:pPr>
            <w:r w:rsidRPr="003C7B5C">
              <w:rPr>
                <w:rFonts w:ascii="Arial" w:hAnsi="Arial" w:cs="Arial"/>
                <w:b/>
                <w:sz w:val="22"/>
                <w:szCs w:val="22"/>
              </w:rPr>
              <w:t>Change</w:t>
            </w:r>
          </w:p>
          <w:p w:rsidR="004A5F16" w:rsidRPr="003C7B5C" w:rsidRDefault="00D11AAD" w:rsidP="003C7B5C">
            <w:pPr>
              <w:pStyle w:val="NoSpacing"/>
              <w:jc w:val="center"/>
              <w:rPr>
                <w:rFonts w:ascii="Arial" w:hAnsi="Arial" w:cs="Arial"/>
                <w:b/>
                <w:sz w:val="22"/>
                <w:szCs w:val="22"/>
              </w:rPr>
            </w:pPr>
            <w:r w:rsidRPr="003C7B5C">
              <w:rPr>
                <w:rFonts w:ascii="Arial" w:hAnsi="Arial" w:cs="Arial"/>
                <w:b/>
                <w:sz w:val="22"/>
                <w:szCs w:val="22"/>
              </w:rPr>
              <w:t>[% from 2009]</w:t>
            </w:r>
          </w:p>
        </w:tc>
      </w:tr>
      <w:tr w:rsidR="004A5F16" w:rsidRPr="003C7B5C" w:rsidTr="003C7B5C">
        <w:trPr>
          <w:trHeight w:val="577"/>
        </w:trPr>
        <w:tc>
          <w:tcPr>
            <w:tcW w:w="2128" w:type="dxa"/>
            <w:vAlign w:val="center"/>
          </w:tcPr>
          <w:p w:rsidR="004A5F16" w:rsidRPr="003C7B5C" w:rsidRDefault="004A5F16" w:rsidP="003C7B5C">
            <w:pPr>
              <w:pStyle w:val="NoSpacing"/>
              <w:rPr>
                <w:rFonts w:ascii="Arial" w:hAnsi="Arial" w:cs="Arial"/>
                <w:sz w:val="22"/>
                <w:szCs w:val="22"/>
              </w:rPr>
            </w:pPr>
            <w:r w:rsidRPr="003C7B5C">
              <w:rPr>
                <w:rFonts w:ascii="Arial" w:hAnsi="Arial" w:cs="Arial"/>
                <w:sz w:val="22"/>
                <w:szCs w:val="22"/>
              </w:rPr>
              <w:t>Cancer Risk Reduction</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61%</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64%</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58%</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 xml:space="preserve">5% </w:t>
            </w:r>
            <w:r w:rsidR="00D11AAD" w:rsidRPr="003C7B5C">
              <w:rPr>
                <w:rFonts w:ascii="Arial" w:hAnsi="Arial" w:cs="Arial"/>
                <w:sz w:val="22"/>
                <w:szCs w:val="22"/>
              </w:rPr>
              <w:t>decrease</w:t>
            </w:r>
          </w:p>
        </w:tc>
      </w:tr>
      <w:tr w:rsidR="004A5F16" w:rsidRPr="003C7B5C" w:rsidTr="003C7B5C">
        <w:trPr>
          <w:trHeight w:val="577"/>
        </w:trPr>
        <w:tc>
          <w:tcPr>
            <w:tcW w:w="2128" w:type="dxa"/>
            <w:vAlign w:val="center"/>
          </w:tcPr>
          <w:p w:rsidR="004A5F16" w:rsidRPr="003C7B5C" w:rsidRDefault="004A5F16" w:rsidP="003C7B5C">
            <w:pPr>
              <w:pStyle w:val="NoSpacing"/>
              <w:rPr>
                <w:rFonts w:ascii="Arial" w:hAnsi="Arial" w:cs="Arial"/>
                <w:sz w:val="22"/>
                <w:szCs w:val="22"/>
              </w:rPr>
            </w:pPr>
            <w:r w:rsidRPr="003C7B5C">
              <w:rPr>
                <w:rFonts w:ascii="Arial" w:hAnsi="Arial" w:cs="Arial"/>
                <w:sz w:val="22"/>
                <w:szCs w:val="22"/>
              </w:rPr>
              <w:t>Improving Fitness</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74%</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58%</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48%</w:t>
            </w:r>
          </w:p>
        </w:tc>
        <w:tc>
          <w:tcPr>
            <w:tcW w:w="1808" w:type="dxa"/>
            <w:vAlign w:val="center"/>
          </w:tcPr>
          <w:p w:rsidR="004A5F16" w:rsidRPr="003C7B5C" w:rsidRDefault="00D11AAD" w:rsidP="003C7B5C">
            <w:pPr>
              <w:pStyle w:val="NoSpacing"/>
              <w:jc w:val="center"/>
              <w:rPr>
                <w:rFonts w:ascii="Arial" w:hAnsi="Arial" w:cs="Arial"/>
                <w:sz w:val="22"/>
                <w:szCs w:val="22"/>
              </w:rPr>
            </w:pPr>
            <w:r w:rsidRPr="003C7B5C">
              <w:rPr>
                <w:rFonts w:ascii="Arial" w:hAnsi="Arial" w:cs="Arial"/>
                <w:sz w:val="22"/>
                <w:szCs w:val="22"/>
              </w:rPr>
              <w:t>35</w:t>
            </w:r>
            <w:r w:rsidR="004A5F16" w:rsidRPr="003C7B5C">
              <w:rPr>
                <w:rFonts w:ascii="Arial" w:hAnsi="Arial" w:cs="Arial"/>
                <w:sz w:val="22"/>
                <w:szCs w:val="22"/>
              </w:rPr>
              <w:t>% decrease</w:t>
            </w:r>
          </w:p>
        </w:tc>
      </w:tr>
      <w:tr w:rsidR="004A5F16" w:rsidRPr="003C7B5C" w:rsidTr="003C7B5C">
        <w:trPr>
          <w:trHeight w:val="577"/>
        </w:trPr>
        <w:tc>
          <w:tcPr>
            <w:tcW w:w="2128" w:type="dxa"/>
            <w:vAlign w:val="center"/>
          </w:tcPr>
          <w:p w:rsidR="004A5F16" w:rsidRPr="003C7B5C" w:rsidRDefault="004A5F16" w:rsidP="003C7B5C">
            <w:pPr>
              <w:pStyle w:val="NoSpacing"/>
              <w:rPr>
                <w:rFonts w:ascii="Arial" w:hAnsi="Arial" w:cs="Arial"/>
                <w:sz w:val="22"/>
                <w:szCs w:val="22"/>
              </w:rPr>
            </w:pPr>
            <w:r w:rsidRPr="003C7B5C">
              <w:rPr>
                <w:rFonts w:ascii="Arial" w:hAnsi="Arial" w:cs="Arial"/>
                <w:sz w:val="22"/>
                <w:szCs w:val="22"/>
              </w:rPr>
              <w:t>Better Nutrition</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41%</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36%</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27%</w:t>
            </w:r>
          </w:p>
        </w:tc>
        <w:tc>
          <w:tcPr>
            <w:tcW w:w="1808" w:type="dxa"/>
            <w:vAlign w:val="center"/>
          </w:tcPr>
          <w:p w:rsidR="004A5F16" w:rsidRPr="003C7B5C" w:rsidRDefault="00D11AAD" w:rsidP="003C7B5C">
            <w:pPr>
              <w:pStyle w:val="NoSpacing"/>
              <w:jc w:val="center"/>
              <w:rPr>
                <w:rFonts w:ascii="Arial" w:hAnsi="Arial" w:cs="Arial"/>
                <w:sz w:val="22"/>
                <w:szCs w:val="22"/>
              </w:rPr>
            </w:pPr>
            <w:r w:rsidRPr="003C7B5C">
              <w:rPr>
                <w:rFonts w:ascii="Arial" w:hAnsi="Arial" w:cs="Arial"/>
                <w:sz w:val="22"/>
                <w:szCs w:val="22"/>
              </w:rPr>
              <w:t>34</w:t>
            </w:r>
            <w:r w:rsidR="004A5F16" w:rsidRPr="003C7B5C">
              <w:rPr>
                <w:rFonts w:ascii="Arial" w:hAnsi="Arial" w:cs="Arial"/>
                <w:sz w:val="22"/>
                <w:szCs w:val="22"/>
              </w:rPr>
              <w:t>% decrease</w:t>
            </w:r>
          </w:p>
        </w:tc>
      </w:tr>
      <w:tr w:rsidR="004A5F16" w:rsidRPr="003C7B5C" w:rsidTr="003C7B5C">
        <w:trPr>
          <w:trHeight w:val="577"/>
        </w:trPr>
        <w:tc>
          <w:tcPr>
            <w:tcW w:w="2128" w:type="dxa"/>
            <w:vAlign w:val="center"/>
          </w:tcPr>
          <w:p w:rsidR="004A5F16" w:rsidRPr="003C7B5C" w:rsidRDefault="004A5F16" w:rsidP="003C7B5C">
            <w:pPr>
              <w:pStyle w:val="NoSpacing"/>
              <w:rPr>
                <w:rFonts w:ascii="Arial" w:hAnsi="Arial" w:cs="Arial"/>
                <w:sz w:val="22"/>
                <w:szCs w:val="22"/>
              </w:rPr>
            </w:pPr>
            <w:r w:rsidRPr="003C7B5C">
              <w:rPr>
                <w:rFonts w:ascii="Arial" w:hAnsi="Arial" w:cs="Arial"/>
                <w:sz w:val="22"/>
                <w:szCs w:val="22"/>
              </w:rPr>
              <w:t>Managing Stress</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33%</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43%</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42%</w:t>
            </w:r>
          </w:p>
        </w:tc>
        <w:tc>
          <w:tcPr>
            <w:tcW w:w="1808" w:type="dxa"/>
            <w:vAlign w:val="center"/>
          </w:tcPr>
          <w:p w:rsidR="004A5F16" w:rsidRPr="003C7B5C" w:rsidRDefault="00D11AAD" w:rsidP="003C7B5C">
            <w:pPr>
              <w:pStyle w:val="NoSpacing"/>
              <w:jc w:val="center"/>
              <w:rPr>
                <w:rFonts w:ascii="Arial" w:hAnsi="Arial" w:cs="Arial"/>
                <w:sz w:val="22"/>
                <w:szCs w:val="22"/>
              </w:rPr>
            </w:pPr>
            <w:r w:rsidRPr="003C7B5C">
              <w:rPr>
                <w:rFonts w:ascii="Arial" w:hAnsi="Arial" w:cs="Arial"/>
                <w:sz w:val="22"/>
                <w:szCs w:val="22"/>
              </w:rPr>
              <w:t>27</w:t>
            </w:r>
            <w:r w:rsidR="004A5F16" w:rsidRPr="003C7B5C">
              <w:rPr>
                <w:rFonts w:ascii="Arial" w:hAnsi="Arial" w:cs="Arial"/>
                <w:sz w:val="22"/>
                <w:szCs w:val="22"/>
              </w:rPr>
              <w:t xml:space="preserve">% </w:t>
            </w:r>
            <w:r w:rsidRPr="003C7B5C">
              <w:rPr>
                <w:rFonts w:ascii="Arial" w:hAnsi="Arial" w:cs="Arial"/>
                <w:sz w:val="22"/>
                <w:szCs w:val="22"/>
              </w:rPr>
              <w:t>inc</w:t>
            </w:r>
            <w:r w:rsidR="004A5F16" w:rsidRPr="003C7B5C">
              <w:rPr>
                <w:rFonts w:ascii="Arial" w:hAnsi="Arial" w:cs="Arial"/>
                <w:sz w:val="22"/>
                <w:szCs w:val="22"/>
              </w:rPr>
              <w:t>rease</w:t>
            </w:r>
          </w:p>
        </w:tc>
      </w:tr>
      <w:tr w:rsidR="004A5F16" w:rsidRPr="003C7B5C" w:rsidTr="003C7B5C">
        <w:trPr>
          <w:trHeight w:val="577"/>
        </w:trPr>
        <w:tc>
          <w:tcPr>
            <w:tcW w:w="2128" w:type="dxa"/>
            <w:vAlign w:val="center"/>
          </w:tcPr>
          <w:p w:rsidR="004A5F16" w:rsidRPr="003C7B5C" w:rsidRDefault="004A5F16" w:rsidP="003C7B5C">
            <w:pPr>
              <w:pStyle w:val="NoSpacing"/>
              <w:rPr>
                <w:rFonts w:ascii="Arial" w:hAnsi="Arial" w:cs="Arial"/>
                <w:sz w:val="22"/>
                <w:szCs w:val="22"/>
              </w:rPr>
            </w:pPr>
            <w:r w:rsidRPr="003C7B5C">
              <w:rPr>
                <w:rFonts w:ascii="Arial" w:hAnsi="Arial" w:cs="Arial"/>
                <w:sz w:val="22"/>
                <w:szCs w:val="22"/>
              </w:rPr>
              <w:t>Weight Management</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41%</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33%</w:t>
            </w:r>
          </w:p>
        </w:tc>
        <w:tc>
          <w:tcPr>
            <w:tcW w:w="1808" w:type="dxa"/>
            <w:vAlign w:val="center"/>
          </w:tcPr>
          <w:p w:rsidR="004A5F16" w:rsidRPr="003C7B5C" w:rsidRDefault="004A5F16" w:rsidP="003C7B5C">
            <w:pPr>
              <w:pStyle w:val="NoSpacing"/>
              <w:jc w:val="center"/>
              <w:rPr>
                <w:rFonts w:ascii="Arial" w:hAnsi="Arial" w:cs="Arial"/>
                <w:sz w:val="22"/>
                <w:szCs w:val="22"/>
              </w:rPr>
            </w:pPr>
            <w:r w:rsidRPr="003C7B5C">
              <w:rPr>
                <w:rFonts w:ascii="Arial" w:hAnsi="Arial" w:cs="Arial"/>
                <w:sz w:val="22"/>
                <w:szCs w:val="22"/>
              </w:rPr>
              <w:t>30%</w:t>
            </w:r>
          </w:p>
        </w:tc>
        <w:tc>
          <w:tcPr>
            <w:tcW w:w="1808" w:type="dxa"/>
            <w:vAlign w:val="center"/>
          </w:tcPr>
          <w:p w:rsidR="004A5F16" w:rsidRPr="003C7B5C" w:rsidRDefault="00D11AAD" w:rsidP="003C7B5C">
            <w:pPr>
              <w:pStyle w:val="NoSpacing"/>
              <w:jc w:val="center"/>
              <w:rPr>
                <w:rFonts w:ascii="Arial" w:hAnsi="Arial" w:cs="Arial"/>
                <w:sz w:val="22"/>
                <w:szCs w:val="22"/>
              </w:rPr>
            </w:pPr>
            <w:r w:rsidRPr="003C7B5C">
              <w:rPr>
                <w:rFonts w:ascii="Arial" w:hAnsi="Arial" w:cs="Arial"/>
                <w:sz w:val="22"/>
                <w:szCs w:val="22"/>
              </w:rPr>
              <w:t>27</w:t>
            </w:r>
            <w:r w:rsidR="004A5F16" w:rsidRPr="003C7B5C">
              <w:rPr>
                <w:rFonts w:ascii="Arial" w:hAnsi="Arial" w:cs="Arial"/>
                <w:sz w:val="22"/>
                <w:szCs w:val="22"/>
              </w:rPr>
              <w:t>% decrease</w:t>
            </w:r>
          </w:p>
        </w:tc>
      </w:tr>
    </w:tbl>
    <w:p w:rsidR="00545A51" w:rsidRDefault="00545A51" w:rsidP="0054478D">
      <w:pPr>
        <w:rPr>
          <w:rFonts w:ascii="Arial" w:hAnsi="Arial" w:cs="Arial"/>
          <w:sz w:val="24"/>
          <w:szCs w:val="24"/>
        </w:rPr>
      </w:pPr>
    </w:p>
    <w:p w:rsidR="007233C5" w:rsidRDefault="007233C5" w:rsidP="0054478D">
      <w:pPr>
        <w:rPr>
          <w:rFonts w:ascii="Arial" w:hAnsi="Arial" w:cs="Arial"/>
          <w:sz w:val="24"/>
          <w:szCs w:val="24"/>
        </w:rPr>
      </w:pPr>
      <w:r>
        <w:rPr>
          <w:rFonts w:ascii="Arial" w:hAnsi="Arial" w:cs="Arial"/>
          <w:sz w:val="24"/>
          <w:szCs w:val="24"/>
        </w:rPr>
        <w:t>The 201</w:t>
      </w:r>
      <w:r w:rsidR="00D11AAD">
        <w:rPr>
          <w:rFonts w:ascii="Arial" w:hAnsi="Arial" w:cs="Arial"/>
          <w:sz w:val="24"/>
          <w:szCs w:val="24"/>
        </w:rPr>
        <w:t>1</w:t>
      </w:r>
      <w:r>
        <w:rPr>
          <w:rFonts w:ascii="Arial" w:hAnsi="Arial" w:cs="Arial"/>
          <w:sz w:val="24"/>
          <w:szCs w:val="24"/>
        </w:rPr>
        <w:t xml:space="preserve"> wellness program efforts were based on the following recommended health actions. Further detail can be seen in Appendix A.</w:t>
      </w:r>
    </w:p>
    <w:p w:rsidR="007233C5" w:rsidRPr="0027635C" w:rsidRDefault="007233C5" w:rsidP="0054478D">
      <w:pPr>
        <w:numPr>
          <w:ilvl w:val="1"/>
          <w:numId w:val="9"/>
        </w:numPr>
        <w:tabs>
          <w:tab w:val="clear" w:pos="1440"/>
          <w:tab w:val="num" w:pos="720"/>
        </w:tabs>
        <w:spacing w:after="0" w:line="240" w:lineRule="auto"/>
        <w:ind w:left="720"/>
        <w:rPr>
          <w:rFonts w:ascii="Arial" w:hAnsi="Arial" w:cs="Arial"/>
          <w:sz w:val="24"/>
          <w:szCs w:val="24"/>
        </w:rPr>
      </w:pPr>
      <w:r>
        <w:rPr>
          <w:rFonts w:ascii="Arial" w:hAnsi="Arial" w:cs="Arial"/>
          <w:sz w:val="24"/>
          <w:szCs w:val="24"/>
        </w:rPr>
        <w:t xml:space="preserve">Improving Fitness </w:t>
      </w:r>
    </w:p>
    <w:p w:rsidR="00D11AAD" w:rsidRDefault="00D11AAD" w:rsidP="0054478D">
      <w:pPr>
        <w:numPr>
          <w:ilvl w:val="1"/>
          <w:numId w:val="9"/>
        </w:numPr>
        <w:tabs>
          <w:tab w:val="clear" w:pos="1440"/>
          <w:tab w:val="num" w:pos="720"/>
        </w:tabs>
        <w:spacing w:after="0" w:line="240" w:lineRule="auto"/>
        <w:ind w:left="720"/>
        <w:rPr>
          <w:rFonts w:ascii="Arial" w:hAnsi="Arial" w:cs="Arial"/>
          <w:sz w:val="24"/>
          <w:szCs w:val="24"/>
        </w:rPr>
      </w:pPr>
      <w:r>
        <w:rPr>
          <w:rFonts w:ascii="Arial" w:hAnsi="Arial" w:cs="Arial"/>
          <w:sz w:val="24"/>
          <w:szCs w:val="24"/>
        </w:rPr>
        <w:t>Stress Management</w:t>
      </w:r>
    </w:p>
    <w:p w:rsidR="00D11AAD" w:rsidRDefault="00D11AAD" w:rsidP="0054478D">
      <w:pPr>
        <w:numPr>
          <w:ilvl w:val="1"/>
          <w:numId w:val="9"/>
        </w:numPr>
        <w:tabs>
          <w:tab w:val="clear" w:pos="1440"/>
          <w:tab w:val="num" w:pos="720"/>
        </w:tabs>
        <w:spacing w:after="0" w:line="240" w:lineRule="auto"/>
        <w:ind w:left="720"/>
        <w:rPr>
          <w:rFonts w:ascii="Arial" w:hAnsi="Arial" w:cs="Arial"/>
          <w:sz w:val="24"/>
          <w:szCs w:val="24"/>
        </w:rPr>
      </w:pPr>
      <w:r>
        <w:rPr>
          <w:rFonts w:ascii="Arial" w:hAnsi="Arial" w:cs="Arial"/>
          <w:sz w:val="24"/>
          <w:szCs w:val="24"/>
        </w:rPr>
        <w:t>Weight Management</w:t>
      </w:r>
    </w:p>
    <w:p w:rsidR="007233C5" w:rsidRPr="0027635C" w:rsidRDefault="007233C5" w:rsidP="0054478D">
      <w:pPr>
        <w:numPr>
          <w:ilvl w:val="1"/>
          <w:numId w:val="9"/>
        </w:numPr>
        <w:tabs>
          <w:tab w:val="clear" w:pos="1440"/>
          <w:tab w:val="num" w:pos="720"/>
        </w:tabs>
        <w:spacing w:after="0" w:line="240" w:lineRule="auto"/>
        <w:ind w:left="720"/>
        <w:rPr>
          <w:rFonts w:ascii="Arial" w:hAnsi="Arial" w:cs="Arial"/>
          <w:sz w:val="24"/>
          <w:szCs w:val="24"/>
        </w:rPr>
      </w:pPr>
      <w:r>
        <w:rPr>
          <w:rFonts w:ascii="Arial" w:hAnsi="Arial" w:cs="Arial"/>
          <w:sz w:val="24"/>
          <w:szCs w:val="24"/>
        </w:rPr>
        <w:t>Better Nutrition</w:t>
      </w:r>
    </w:p>
    <w:p w:rsidR="007233C5" w:rsidRPr="0027635C" w:rsidRDefault="007233C5" w:rsidP="0054478D">
      <w:pPr>
        <w:numPr>
          <w:ilvl w:val="1"/>
          <w:numId w:val="9"/>
        </w:numPr>
        <w:tabs>
          <w:tab w:val="clear" w:pos="1440"/>
          <w:tab w:val="num" w:pos="720"/>
        </w:tabs>
        <w:spacing w:after="0" w:line="240" w:lineRule="auto"/>
        <w:ind w:left="720"/>
        <w:rPr>
          <w:rFonts w:ascii="Arial" w:hAnsi="Arial" w:cs="Arial"/>
          <w:sz w:val="24"/>
          <w:szCs w:val="24"/>
        </w:rPr>
      </w:pPr>
      <w:r>
        <w:rPr>
          <w:rFonts w:ascii="Arial" w:hAnsi="Arial" w:cs="Arial"/>
          <w:sz w:val="24"/>
          <w:szCs w:val="24"/>
        </w:rPr>
        <w:t>Protecting your Heart</w:t>
      </w:r>
    </w:p>
    <w:p w:rsidR="007233C5" w:rsidRDefault="007233C5" w:rsidP="0054478D">
      <w:pPr>
        <w:rPr>
          <w:rFonts w:ascii="Arial" w:hAnsi="Arial" w:cs="Arial"/>
          <w:sz w:val="24"/>
          <w:szCs w:val="24"/>
        </w:rPr>
      </w:pPr>
    </w:p>
    <w:p w:rsidR="00831B21" w:rsidRPr="00831B21" w:rsidRDefault="00831B21" w:rsidP="00831B21">
      <w:pPr>
        <w:rPr>
          <w:rFonts w:ascii="Arial" w:hAnsi="Arial" w:cs="Arial"/>
          <w:b/>
          <w:sz w:val="24"/>
        </w:rPr>
      </w:pPr>
      <w:r w:rsidRPr="00831B21">
        <w:rPr>
          <w:rFonts w:ascii="Arial" w:hAnsi="Arial" w:cs="Arial"/>
          <w:b/>
          <w:sz w:val="24"/>
        </w:rPr>
        <w:t>Discussion</w:t>
      </w:r>
    </w:p>
    <w:p w:rsidR="00831B21" w:rsidRPr="00831B21" w:rsidRDefault="00831B21" w:rsidP="00831B21">
      <w:pPr>
        <w:rPr>
          <w:rFonts w:ascii="Arial" w:hAnsi="Arial" w:cs="Arial"/>
          <w:sz w:val="24"/>
        </w:rPr>
      </w:pPr>
      <w:r w:rsidRPr="00831B21">
        <w:rPr>
          <w:rFonts w:ascii="Arial" w:hAnsi="Arial" w:cs="Arial"/>
          <w:sz w:val="24"/>
        </w:rPr>
        <w:t>The Personal Wellness Profile is an assessment tool used to determine the areas of focus for wellness program initiatives. It also provides management with an idea of the costs and savings associated with employees with health risks. A few points worth noting:</w:t>
      </w:r>
    </w:p>
    <w:p w:rsidR="00831B21" w:rsidRPr="00831B21" w:rsidRDefault="00831B21" w:rsidP="00831B21">
      <w:pPr>
        <w:numPr>
          <w:ilvl w:val="0"/>
          <w:numId w:val="13"/>
        </w:numPr>
        <w:spacing w:after="0" w:line="240" w:lineRule="auto"/>
        <w:rPr>
          <w:rFonts w:ascii="Arial" w:hAnsi="Arial" w:cs="Arial"/>
          <w:sz w:val="24"/>
        </w:rPr>
      </w:pPr>
      <w:r w:rsidRPr="00831B21">
        <w:rPr>
          <w:rFonts w:ascii="Arial" w:hAnsi="Arial" w:cs="Arial"/>
          <w:sz w:val="24"/>
        </w:rPr>
        <w:t xml:space="preserve">Health Risk Profile – out of the 5 health risks presented in 2009 and again in 2010, most </w:t>
      </w:r>
      <w:r>
        <w:rPr>
          <w:rFonts w:ascii="Arial" w:hAnsi="Arial" w:cs="Arial"/>
          <w:sz w:val="24"/>
        </w:rPr>
        <w:t xml:space="preserve">have </w:t>
      </w:r>
      <w:r w:rsidRPr="00831B21">
        <w:rPr>
          <w:rFonts w:ascii="Arial" w:hAnsi="Arial" w:cs="Arial"/>
          <w:sz w:val="24"/>
        </w:rPr>
        <w:t>decreased</w:t>
      </w:r>
      <w:r>
        <w:rPr>
          <w:rFonts w:ascii="Arial" w:hAnsi="Arial" w:cs="Arial"/>
          <w:sz w:val="24"/>
        </w:rPr>
        <w:t xml:space="preserve"> since 2009</w:t>
      </w:r>
      <w:r w:rsidRPr="00831B21">
        <w:rPr>
          <w:rFonts w:ascii="Arial" w:hAnsi="Arial" w:cs="Arial"/>
          <w:sz w:val="24"/>
        </w:rPr>
        <w:t xml:space="preserve"> with the exception of </w:t>
      </w:r>
      <w:r>
        <w:rPr>
          <w:rFonts w:ascii="Arial" w:hAnsi="Arial" w:cs="Arial"/>
          <w:sz w:val="24"/>
        </w:rPr>
        <w:t>Managing Stress which increased 27</w:t>
      </w:r>
      <w:r w:rsidRPr="00831B21">
        <w:rPr>
          <w:rFonts w:ascii="Arial" w:hAnsi="Arial" w:cs="Arial"/>
          <w:sz w:val="24"/>
        </w:rPr>
        <w:t>%.</w:t>
      </w:r>
    </w:p>
    <w:p w:rsidR="00831B21" w:rsidRPr="00831B21" w:rsidRDefault="00831B21" w:rsidP="00831B21">
      <w:pPr>
        <w:spacing w:after="0" w:line="240" w:lineRule="auto"/>
        <w:ind w:left="360"/>
        <w:rPr>
          <w:rFonts w:ascii="Arial" w:hAnsi="Arial" w:cs="Arial"/>
          <w:sz w:val="24"/>
        </w:rPr>
      </w:pPr>
    </w:p>
    <w:p w:rsidR="00831B21" w:rsidRPr="003C7B5C" w:rsidRDefault="00831B21" w:rsidP="00831B21">
      <w:pPr>
        <w:numPr>
          <w:ilvl w:val="0"/>
          <w:numId w:val="13"/>
        </w:numPr>
        <w:spacing w:after="0" w:line="240" w:lineRule="auto"/>
        <w:rPr>
          <w:rFonts w:ascii="Arial" w:hAnsi="Arial" w:cs="Arial"/>
          <w:sz w:val="24"/>
        </w:rPr>
      </w:pPr>
      <w:r w:rsidRPr="00831B21">
        <w:rPr>
          <w:rFonts w:ascii="Arial" w:hAnsi="Arial" w:cs="Arial"/>
          <w:sz w:val="24"/>
        </w:rPr>
        <w:t>Readiness to Change – The estimated readiness to change distri</w:t>
      </w:r>
      <w:r w:rsidR="00586874">
        <w:rPr>
          <w:rFonts w:ascii="Arial" w:hAnsi="Arial" w:cs="Arial"/>
          <w:sz w:val="24"/>
        </w:rPr>
        <w:t xml:space="preserve">butions in 2009, </w:t>
      </w:r>
      <w:r w:rsidRPr="00831B21">
        <w:rPr>
          <w:rFonts w:ascii="Arial" w:hAnsi="Arial" w:cs="Arial"/>
          <w:sz w:val="24"/>
        </w:rPr>
        <w:t>2010</w:t>
      </w:r>
      <w:r w:rsidR="00586874">
        <w:rPr>
          <w:rFonts w:ascii="Arial" w:hAnsi="Arial" w:cs="Arial"/>
          <w:sz w:val="24"/>
        </w:rPr>
        <w:t>, and 2011</w:t>
      </w:r>
      <w:r w:rsidRPr="00831B21">
        <w:rPr>
          <w:rFonts w:ascii="Arial" w:hAnsi="Arial" w:cs="Arial"/>
          <w:sz w:val="24"/>
        </w:rPr>
        <w:t xml:space="preserve"> are different. A summary table is below.</w:t>
      </w:r>
    </w:p>
    <w:p w:rsidR="00831B21" w:rsidRDefault="00831B21" w:rsidP="00831B21">
      <w:pPr>
        <w:spacing w:after="0" w:line="240" w:lineRule="auto"/>
        <w:ind w:left="360"/>
      </w:pPr>
    </w:p>
    <w:tbl>
      <w:tblPr>
        <w:tblStyle w:val="TableGrid"/>
        <w:tblW w:w="9360" w:type="dxa"/>
        <w:tblInd w:w="108" w:type="dxa"/>
        <w:tblLook w:val="01E0" w:firstRow="1" w:lastRow="1" w:firstColumn="1" w:lastColumn="1" w:noHBand="0" w:noVBand="0"/>
      </w:tblPr>
      <w:tblGrid>
        <w:gridCol w:w="2070"/>
        <w:gridCol w:w="1822"/>
        <w:gridCol w:w="1823"/>
        <w:gridCol w:w="1822"/>
        <w:gridCol w:w="1823"/>
      </w:tblGrid>
      <w:tr w:rsidR="00586874" w:rsidRPr="003C7B5C" w:rsidTr="001D6E11">
        <w:tc>
          <w:tcPr>
            <w:tcW w:w="2070" w:type="dxa"/>
            <w:shd w:val="clear" w:color="auto" w:fill="D9D9D9" w:themeFill="background1" w:themeFillShade="D9"/>
          </w:tcPr>
          <w:p w:rsidR="00586874" w:rsidRPr="003C7B5C" w:rsidRDefault="00586874" w:rsidP="001044DA">
            <w:pPr>
              <w:spacing w:after="0" w:line="240" w:lineRule="auto"/>
              <w:jc w:val="center"/>
              <w:rPr>
                <w:rFonts w:ascii="Arial" w:hAnsi="Arial" w:cs="Arial"/>
                <w:b/>
                <w:sz w:val="22"/>
                <w:szCs w:val="24"/>
              </w:rPr>
            </w:pPr>
            <w:r w:rsidRPr="003C7B5C">
              <w:rPr>
                <w:rFonts w:ascii="Arial" w:hAnsi="Arial" w:cs="Arial"/>
                <w:b/>
                <w:sz w:val="22"/>
                <w:szCs w:val="24"/>
              </w:rPr>
              <w:t>Readiness to Change</w:t>
            </w:r>
          </w:p>
        </w:tc>
        <w:tc>
          <w:tcPr>
            <w:tcW w:w="1822" w:type="dxa"/>
            <w:shd w:val="clear" w:color="auto" w:fill="D9D9D9" w:themeFill="background1" w:themeFillShade="D9"/>
            <w:vAlign w:val="center"/>
          </w:tcPr>
          <w:p w:rsidR="00586874" w:rsidRPr="003C7B5C" w:rsidRDefault="00586874" w:rsidP="001D6E11">
            <w:pPr>
              <w:spacing w:after="0" w:line="240" w:lineRule="auto"/>
              <w:jc w:val="center"/>
              <w:rPr>
                <w:rFonts w:ascii="Arial" w:hAnsi="Arial" w:cs="Arial"/>
                <w:b/>
                <w:sz w:val="22"/>
                <w:szCs w:val="24"/>
              </w:rPr>
            </w:pPr>
            <w:r w:rsidRPr="003C7B5C">
              <w:rPr>
                <w:rFonts w:ascii="Arial" w:hAnsi="Arial" w:cs="Arial"/>
                <w:b/>
                <w:sz w:val="22"/>
                <w:szCs w:val="24"/>
              </w:rPr>
              <w:t>2009</w:t>
            </w:r>
          </w:p>
        </w:tc>
        <w:tc>
          <w:tcPr>
            <w:tcW w:w="1823" w:type="dxa"/>
            <w:shd w:val="clear" w:color="auto" w:fill="D9D9D9" w:themeFill="background1" w:themeFillShade="D9"/>
            <w:vAlign w:val="center"/>
          </w:tcPr>
          <w:p w:rsidR="00586874" w:rsidRPr="003C7B5C" w:rsidRDefault="00586874" w:rsidP="001D6E11">
            <w:pPr>
              <w:spacing w:after="0" w:line="240" w:lineRule="auto"/>
              <w:jc w:val="center"/>
              <w:rPr>
                <w:rFonts w:ascii="Arial" w:hAnsi="Arial" w:cs="Arial"/>
                <w:b/>
                <w:sz w:val="22"/>
                <w:szCs w:val="24"/>
              </w:rPr>
            </w:pPr>
            <w:r w:rsidRPr="003C7B5C">
              <w:rPr>
                <w:rFonts w:ascii="Arial" w:hAnsi="Arial" w:cs="Arial"/>
                <w:b/>
                <w:sz w:val="22"/>
                <w:szCs w:val="24"/>
              </w:rPr>
              <w:t>2010</w:t>
            </w:r>
          </w:p>
        </w:tc>
        <w:tc>
          <w:tcPr>
            <w:tcW w:w="1822" w:type="dxa"/>
            <w:shd w:val="clear" w:color="auto" w:fill="D9D9D9" w:themeFill="background1" w:themeFillShade="D9"/>
            <w:vAlign w:val="center"/>
          </w:tcPr>
          <w:p w:rsidR="00586874" w:rsidRPr="003C7B5C" w:rsidRDefault="00586874" w:rsidP="001D6E11">
            <w:pPr>
              <w:spacing w:after="0" w:line="240" w:lineRule="auto"/>
              <w:jc w:val="center"/>
              <w:rPr>
                <w:rFonts w:ascii="Arial" w:hAnsi="Arial" w:cs="Arial"/>
                <w:b/>
                <w:sz w:val="22"/>
                <w:szCs w:val="24"/>
              </w:rPr>
            </w:pPr>
            <w:r w:rsidRPr="003C7B5C">
              <w:rPr>
                <w:rFonts w:ascii="Arial" w:hAnsi="Arial" w:cs="Arial"/>
                <w:b/>
                <w:sz w:val="22"/>
                <w:szCs w:val="24"/>
              </w:rPr>
              <w:t>2011</w:t>
            </w:r>
          </w:p>
        </w:tc>
        <w:tc>
          <w:tcPr>
            <w:tcW w:w="1823" w:type="dxa"/>
            <w:shd w:val="clear" w:color="auto" w:fill="D9D9D9" w:themeFill="background1" w:themeFillShade="D9"/>
            <w:vAlign w:val="center"/>
          </w:tcPr>
          <w:p w:rsidR="00586874" w:rsidRPr="003C7B5C" w:rsidRDefault="00586874" w:rsidP="001D6E11">
            <w:pPr>
              <w:spacing w:after="0" w:line="240" w:lineRule="auto"/>
              <w:jc w:val="center"/>
              <w:rPr>
                <w:rFonts w:ascii="Arial" w:hAnsi="Arial" w:cs="Arial"/>
                <w:b/>
                <w:sz w:val="22"/>
                <w:szCs w:val="24"/>
              </w:rPr>
            </w:pPr>
            <w:r w:rsidRPr="003C7B5C">
              <w:rPr>
                <w:rFonts w:ascii="Arial" w:hAnsi="Arial" w:cs="Arial"/>
                <w:b/>
                <w:sz w:val="22"/>
                <w:szCs w:val="24"/>
              </w:rPr>
              <w:t>Change [%]</w:t>
            </w:r>
          </w:p>
        </w:tc>
      </w:tr>
      <w:tr w:rsidR="00586874" w:rsidRPr="003C7B5C" w:rsidTr="001D6E11">
        <w:trPr>
          <w:trHeight w:val="326"/>
        </w:trPr>
        <w:tc>
          <w:tcPr>
            <w:tcW w:w="2070" w:type="dxa"/>
            <w:vAlign w:val="center"/>
          </w:tcPr>
          <w:p w:rsidR="00586874" w:rsidRPr="003C7B5C" w:rsidRDefault="00586874" w:rsidP="001D6E11">
            <w:pPr>
              <w:spacing w:after="0" w:line="240" w:lineRule="auto"/>
              <w:rPr>
                <w:rFonts w:ascii="Arial" w:hAnsi="Arial" w:cs="Arial"/>
                <w:sz w:val="22"/>
                <w:szCs w:val="24"/>
              </w:rPr>
            </w:pPr>
            <w:r w:rsidRPr="003C7B5C">
              <w:rPr>
                <w:rFonts w:ascii="Arial" w:hAnsi="Arial" w:cs="Arial"/>
                <w:sz w:val="22"/>
                <w:szCs w:val="24"/>
              </w:rPr>
              <w:t>Pre-contemplative</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11%</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9%</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0%</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11% decrease</w:t>
            </w:r>
          </w:p>
        </w:tc>
      </w:tr>
      <w:tr w:rsidR="00586874" w:rsidRPr="003C7B5C" w:rsidTr="001D6E11">
        <w:trPr>
          <w:trHeight w:val="326"/>
        </w:trPr>
        <w:tc>
          <w:tcPr>
            <w:tcW w:w="2070" w:type="dxa"/>
            <w:vAlign w:val="center"/>
          </w:tcPr>
          <w:p w:rsidR="00586874" w:rsidRPr="003C7B5C" w:rsidRDefault="00586874" w:rsidP="001D6E11">
            <w:pPr>
              <w:spacing w:after="0" w:line="240" w:lineRule="auto"/>
              <w:rPr>
                <w:rFonts w:ascii="Arial" w:hAnsi="Arial" w:cs="Arial"/>
                <w:sz w:val="22"/>
                <w:szCs w:val="24"/>
              </w:rPr>
            </w:pPr>
            <w:r w:rsidRPr="003C7B5C">
              <w:rPr>
                <w:rFonts w:ascii="Arial" w:hAnsi="Arial" w:cs="Arial"/>
                <w:sz w:val="22"/>
                <w:szCs w:val="24"/>
              </w:rPr>
              <w:t>Contemplative</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26%</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14%</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15%</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42% decrease</w:t>
            </w:r>
          </w:p>
        </w:tc>
      </w:tr>
      <w:tr w:rsidR="00586874" w:rsidRPr="003C7B5C" w:rsidTr="001D6E11">
        <w:trPr>
          <w:trHeight w:val="326"/>
        </w:trPr>
        <w:tc>
          <w:tcPr>
            <w:tcW w:w="2070" w:type="dxa"/>
            <w:vAlign w:val="center"/>
          </w:tcPr>
          <w:p w:rsidR="00586874" w:rsidRPr="003C7B5C" w:rsidRDefault="00586874" w:rsidP="001D6E11">
            <w:pPr>
              <w:spacing w:after="0" w:line="240" w:lineRule="auto"/>
              <w:rPr>
                <w:rFonts w:ascii="Arial" w:hAnsi="Arial" w:cs="Arial"/>
                <w:sz w:val="22"/>
                <w:szCs w:val="24"/>
              </w:rPr>
            </w:pPr>
            <w:r w:rsidRPr="003C7B5C">
              <w:rPr>
                <w:rFonts w:ascii="Arial" w:hAnsi="Arial" w:cs="Arial"/>
                <w:sz w:val="22"/>
                <w:szCs w:val="24"/>
              </w:rPr>
              <w:t>Planning Stage</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11%</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6%</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9%</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18% decrease</w:t>
            </w:r>
          </w:p>
        </w:tc>
      </w:tr>
      <w:tr w:rsidR="00586874" w:rsidRPr="003C7B5C" w:rsidTr="001D6E11">
        <w:trPr>
          <w:trHeight w:val="326"/>
        </w:trPr>
        <w:tc>
          <w:tcPr>
            <w:tcW w:w="2070" w:type="dxa"/>
            <w:vAlign w:val="center"/>
          </w:tcPr>
          <w:p w:rsidR="00586874" w:rsidRPr="003C7B5C" w:rsidRDefault="00586874" w:rsidP="001D6E11">
            <w:pPr>
              <w:spacing w:after="0" w:line="240" w:lineRule="auto"/>
              <w:rPr>
                <w:rFonts w:ascii="Arial" w:hAnsi="Arial" w:cs="Arial"/>
                <w:sz w:val="22"/>
                <w:szCs w:val="24"/>
              </w:rPr>
            </w:pPr>
            <w:r w:rsidRPr="003C7B5C">
              <w:rPr>
                <w:rFonts w:ascii="Arial" w:hAnsi="Arial" w:cs="Arial"/>
                <w:sz w:val="22"/>
                <w:szCs w:val="24"/>
              </w:rPr>
              <w:t>Action Stage</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13%</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14%</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18%</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38% increase</w:t>
            </w:r>
          </w:p>
        </w:tc>
      </w:tr>
      <w:tr w:rsidR="00586874" w:rsidRPr="003C7B5C" w:rsidTr="001D6E11">
        <w:trPr>
          <w:trHeight w:val="326"/>
        </w:trPr>
        <w:tc>
          <w:tcPr>
            <w:tcW w:w="2070" w:type="dxa"/>
            <w:vAlign w:val="center"/>
          </w:tcPr>
          <w:p w:rsidR="00586874" w:rsidRPr="003C7B5C" w:rsidRDefault="00586874" w:rsidP="001D6E11">
            <w:pPr>
              <w:spacing w:after="0" w:line="240" w:lineRule="auto"/>
              <w:rPr>
                <w:rFonts w:ascii="Arial" w:hAnsi="Arial" w:cs="Arial"/>
                <w:sz w:val="22"/>
                <w:szCs w:val="24"/>
              </w:rPr>
            </w:pPr>
            <w:r w:rsidRPr="003C7B5C">
              <w:rPr>
                <w:rFonts w:ascii="Arial" w:hAnsi="Arial" w:cs="Arial"/>
                <w:sz w:val="22"/>
                <w:szCs w:val="24"/>
              </w:rPr>
              <w:t>Maintenance</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33%</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50%</w:t>
            </w:r>
          </w:p>
        </w:tc>
        <w:tc>
          <w:tcPr>
            <w:tcW w:w="1822"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58%</w:t>
            </w:r>
          </w:p>
        </w:tc>
        <w:tc>
          <w:tcPr>
            <w:tcW w:w="1823" w:type="dxa"/>
            <w:vAlign w:val="center"/>
          </w:tcPr>
          <w:p w:rsidR="00586874" w:rsidRPr="003C7B5C" w:rsidRDefault="00586874" w:rsidP="001D6E11">
            <w:pPr>
              <w:spacing w:after="0" w:line="240" w:lineRule="auto"/>
              <w:jc w:val="center"/>
              <w:rPr>
                <w:rFonts w:ascii="Arial" w:hAnsi="Arial" w:cs="Arial"/>
                <w:sz w:val="22"/>
                <w:szCs w:val="24"/>
              </w:rPr>
            </w:pPr>
            <w:r w:rsidRPr="003C7B5C">
              <w:rPr>
                <w:rFonts w:ascii="Arial" w:hAnsi="Arial" w:cs="Arial"/>
                <w:sz w:val="22"/>
                <w:szCs w:val="24"/>
              </w:rPr>
              <w:t>76% increase</w:t>
            </w:r>
          </w:p>
        </w:tc>
      </w:tr>
    </w:tbl>
    <w:p w:rsidR="00831B21" w:rsidRPr="00586874" w:rsidRDefault="00831B21" w:rsidP="003C7B5C">
      <w:pPr>
        <w:spacing w:after="0" w:line="240" w:lineRule="auto"/>
        <w:rPr>
          <w:rFonts w:ascii="Arial" w:hAnsi="Arial" w:cs="Arial"/>
          <w:sz w:val="24"/>
        </w:rPr>
      </w:pPr>
      <w:r w:rsidRPr="00586874">
        <w:rPr>
          <w:rFonts w:ascii="Arial" w:hAnsi="Arial" w:cs="Arial"/>
          <w:sz w:val="24"/>
        </w:rPr>
        <w:lastRenderedPageBreak/>
        <w:t xml:space="preserve">There appears to be a positive shift in deciding to take action and maintaining change since 2009. It can be inferred that </w:t>
      </w:r>
      <w:r w:rsidR="00586874">
        <w:rPr>
          <w:rFonts w:ascii="Arial" w:hAnsi="Arial" w:cs="Arial"/>
          <w:sz w:val="24"/>
        </w:rPr>
        <w:t>76</w:t>
      </w:r>
      <w:r w:rsidRPr="00586874">
        <w:rPr>
          <w:rFonts w:ascii="Arial" w:hAnsi="Arial" w:cs="Arial"/>
          <w:sz w:val="24"/>
        </w:rPr>
        <w:t xml:space="preserve">% of the population is </w:t>
      </w:r>
      <w:r w:rsidRPr="00586874">
        <w:rPr>
          <w:rFonts w:ascii="Arial" w:hAnsi="Arial" w:cs="Arial"/>
          <w:sz w:val="24"/>
          <w:u w:val="single"/>
        </w:rPr>
        <w:t xml:space="preserve">practicing </w:t>
      </w:r>
      <w:r w:rsidR="00586874">
        <w:rPr>
          <w:rFonts w:ascii="Arial" w:hAnsi="Arial" w:cs="Arial"/>
          <w:sz w:val="24"/>
        </w:rPr>
        <w:t>healthy behaviours in 2011</w:t>
      </w:r>
      <w:r w:rsidRPr="00586874">
        <w:rPr>
          <w:rFonts w:ascii="Arial" w:hAnsi="Arial" w:cs="Arial"/>
          <w:sz w:val="24"/>
        </w:rPr>
        <w:t xml:space="preserve"> as opposed to </w:t>
      </w:r>
      <w:r w:rsidR="00586874">
        <w:rPr>
          <w:rFonts w:ascii="Arial" w:hAnsi="Arial" w:cs="Arial"/>
          <w:sz w:val="24"/>
        </w:rPr>
        <w:t xml:space="preserve">64% in 2010 and </w:t>
      </w:r>
      <w:r w:rsidRPr="00586874">
        <w:rPr>
          <w:rFonts w:ascii="Arial" w:hAnsi="Arial" w:cs="Arial"/>
          <w:sz w:val="24"/>
        </w:rPr>
        <w:t>46% in 2009.</w:t>
      </w:r>
    </w:p>
    <w:p w:rsidR="00831B21" w:rsidRPr="00586874" w:rsidRDefault="00831B21" w:rsidP="00831B21">
      <w:pPr>
        <w:ind w:left="360"/>
        <w:rPr>
          <w:rFonts w:ascii="Arial" w:hAnsi="Arial" w:cs="Arial"/>
          <w:sz w:val="24"/>
        </w:rPr>
      </w:pPr>
    </w:p>
    <w:p w:rsidR="00831B21" w:rsidRDefault="00831B21" w:rsidP="00831B21">
      <w:pPr>
        <w:numPr>
          <w:ilvl w:val="0"/>
          <w:numId w:val="13"/>
        </w:numPr>
        <w:spacing w:after="0" w:line="240" w:lineRule="auto"/>
        <w:rPr>
          <w:rFonts w:ascii="Arial" w:hAnsi="Arial" w:cs="Arial"/>
          <w:sz w:val="24"/>
        </w:rPr>
      </w:pPr>
      <w:r w:rsidRPr="00B45388">
        <w:rPr>
          <w:rFonts w:ascii="Arial" w:hAnsi="Arial" w:cs="Arial"/>
          <w:sz w:val="24"/>
        </w:rPr>
        <w:t>Preventable Risk Scale –</w:t>
      </w:r>
      <w:r w:rsidR="005C5A6E">
        <w:rPr>
          <w:rFonts w:ascii="Arial" w:hAnsi="Arial" w:cs="Arial"/>
          <w:sz w:val="24"/>
        </w:rPr>
        <w:t xml:space="preserve"> </w:t>
      </w:r>
      <w:r w:rsidR="00B45388" w:rsidRPr="00B45388">
        <w:rPr>
          <w:rFonts w:ascii="Arial" w:hAnsi="Arial" w:cs="Arial"/>
          <w:sz w:val="24"/>
        </w:rPr>
        <w:t xml:space="preserve">A summary table is below. </w:t>
      </w:r>
    </w:p>
    <w:p w:rsidR="00B45388" w:rsidRDefault="00B45388" w:rsidP="00B45388">
      <w:pPr>
        <w:spacing w:after="0" w:line="240" w:lineRule="auto"/>
        <w:ind w:left="720"/>
        <w:rPr>
          <w:rFonts w:ascii="Arial" w:hAnsi="Arial" w:cs="Arial"/>
          <w:sz w:val="24"/>
        </w:rPr>
      </w:pPr>
    </w:p>
    <w:p w:rsidR="00B45388" w:rsidRPr="00B45388" w:rsidRDefault="00B45388" w:rsidP="00B45388">
      <w:pPr>
        <w:spacing w:after="0" w:line="240" w:lineRule="auto"/>
        <w:ind w:left="720"/>
        <w:rPr>
          <w:rFonts w:ascii="Arial" w:hAnsi="Arial" w:cs="Arial"/>
          <w:sz w:val="24"/>
        </w:rPr>
      </w:pPr>
    </w:p>
    <w:tbl>
      <w:tblPr>
        <w:tblStyle w:val="TableGrid"/>
        <w:tblW w:w="9360" w:type="dxa"/>
        <w:tblInd w:w="108" w:type="dxa"/>
        <w:tblLook w:val="01E0" w:firstRow="1" w:lastRow="1" w:firstColumn="1" w:lastColumn="1" w:noHBand="0" w:noVBand="0"/>
      </w:tblPr>
      <w:tblGrid>
        <w:gridCol w:w="2070"/>
        <w:gridCol w:w="1822"/>
        <w:gridCol w:w="1823"/>
        <w:gridCol w:w="1822"/>
        <w:gridCol w:w="1823"/>
      </w:tblGrid>
      <w:tr w:rsidR="00B45388" w:rsidRPr="003C7B5C" w:rsidTr="001D6E11">
        <w:tc>
          <w:tcPr>
            <w:tcW w:w="2070" w:type="dxa"/>
            <w:shd w:val="clear" w:color="auto" w:fill="D9D9D9" w:themeFill="background1" w:themeFillShade="D9"/>
            <w:vAlign w:val="center"/>
          </w:tcPr>
          <w:p w:rsidR="00B45388" w:rsidRPr="003C7B5C" w:rsidRDefault="00B45388" w:rsidP="003C7B5C">
            <w:pPr>
              <w:spacing w:after="0" w:line="240" w:lineRule="auto"/>
              <w:jc w:val="center"/>
              <w:rPr>
                <w:rFonts w:ascii="Arial" w:hAnsi="Arial" w:cs="Arial"/>
                <w:b/>
                <w:sz w:val="22"/>
                <w:szCs w:val="22"/>
              </w:rPr>
            </w:pPr>
            <w:r w:rsidRPr="003C7B5C">
              <w:rPr>
                <w:rFonts w:ascii="Arial" w:hAnsi="Arial" w:cs="Arial"/>
                <w:b/>
                <w:sz w:val="22"/>
                <w:szCs w:val="22"/>
              </w:rPr>
              <w:t># of Preventable Risks</w:t>
            </w:r>
          </w:p>
        </w:tc>
        <w:tc>
          <w:tcPr>
            <w:tcW w:w="1822" w:type="dxa"/>
            <w:shd w:val="clear" w:color="auto" w:fill="D9D9D9" w:themeFill="background1" w:themeFillShade="D9"/>
            <w:vAlign w:val="center"/>
          </w:tcPr>
          <w:p w:rsidR="00B45388" w:rsidRPr="003C7B5C" w:rsidRDefault="00B45388" w:rsidP="003C7B5C">
            <w:pPr>
              <w:spacing w:after="0" w:line="240" w:lineRule="auto"/>
              <w:jc w:val="center"/>
              <w:rPr>
                <w:rFonts w:ascii="Arial" w:hAnsi="Arial" w:cs="Arial"/>
                <w:b/>
                <w:sz w:val="22"/>
                <w:szCs w:val="22"/>
              </w:rPr>
            </w:pPr>
            <w:r w:rsidRPr="003C7B5C">
              <w:rPr>
                <w:rFonts w:ascii="Arial" w:hAnsi="Arial" w:cs="Arial"/>
                <w:b/>
                <w:sz w:val="22"/>
                <w:szCs w:val="22"/>
              </w:rPr>
              <w:t>2009</w:t>
            </w:r>
          </w:p>
        </w:tc>
        <w:tc>
          <w:tcPr>
            <w:tcW w:w="1823" w:type="dxa"/>
            <w:shd w:val="clear" w:color="auto" w:fill="D9D9D9" w:themeFill="background1" w:themeFillShade="D9"/>
            <w:vAlign w:val="center"/>
          </w:tcPr>
          <w:p w:rsidR="00B45388" w:rsidRPr="003C7B5C" w:rsidRDefault="00B45388" w:rsidP="003C7B5C">
            <w:pPr>
              <w:spacing w:after="0" w:line="240" w:lineRule="auto"/>
              <w:jc w:val="center"/>
              <w:rPr>
                <w:rFonts w:ascii="Arial" w:hAnsi="Arial" w:cs="Arial"/>
                <w:b/>
                <w:sz w:val="22"/>
                <w:szCs w:val="22"/>
              </w:rPr>
            </w:pPr>
            <w:r w:rsidRPr="003C7B5C">
              <w:rPr>
                <w:rFonts w:ascii="Arial" w:hAnsi="Arial" w:cs="Arial"/>
                <w:b/>
                <w:sz w:val="22"/>
                <w:szCs w:val="22"/>
              </w:rPr>
              <w:t>2010</w:t>
            </w:r>
          </w:p>
        </w:tc>
        <w:tc>
          <w:tcPr>
            <w:tcW w:w="1822" w:type="dxa"/>
            <w:shd w:val="clear" w:color="auto" w:fill="D9D9D9" w:themeFill="background1" w:themeFillShade="D9"/>
            <w:vAlign w:val="center"/>
          </w:tcPr>
          <w:p w:rsidR="00B45388" w:rsidRPr="003C7B5C" w:rsidRDefault="00B45388" w:rsidP="003C7B5C">
            <w:pPr>
              <w:spacing w:after="0" w:line="240" w:lineRule="auto"/>
              <w:jc w:val="center"/>
              <w:rPr>
                <w:rFonts w:ascii="Arial" w:hAnsi="Arial" w:cs="Arial"/>
                <w:b/>
                <w:sz w:val="22"/>
                <w:szCs w:val="22"/>
              </w:rPr>
            </w:pPr>
            <w:r w:rsidRPr="003C7B5C">
              <w:rPr>
                <w:rFonts w:ascii="Arial" w:hAnsi="Arial" w:cs="Arial"/>
                <w:b/>
                <w:sz w:val="22"/>
                <w:szCs w:val="22"/>
              </w:rPr>
              <w:t>2011</w:t>
            </w:r>
          </w:p>
        </w:tc>
        <w:tc>
          <w:tcPr>
            <w:tcW w:w="1823" w:type="dxa"/>
            <w:shd w:val="clear" w:color="auto" w:fill="D9D9D9" w:themeFill="background1" w:themeFillShade="D9"/>
            <w:vAlign w:val="center"/>
          </w:tcPr>
          <w:p w:rsidR="00B45388" w:rsidRPr="003C7B5C" w:rsidRDefault="00B45388" w:rsidP="003C7B5C">
            <w:pPr>
              <w:spacing w:after="0" w:line="240" w:lineRule="auto"/>
              <w:jc w:val="center"/>
              <w:rPr>
                <w:rFonts w:ascii="Arial" w:hAnsi="Arial" w:cs="Arial"/>
                <w:b/>
                <w:sz w:val="22"/>
                <w:szCs w:val="22"/>
              </w:rPr>
            </w:pPr>
            <w:r w:rsidRPr="003C7B5C">
              <w:rPr>
                <w:rFonts w:ascii="Arial" w:hAnsi="Arial" w:cs="Arial"/>
                <w:b/>
                <w:sz w:val="22"/>
                <w:szCs w:val="22"/>
              </w:rPr>
              <w:t>Change [%]</w:t>
            </w:r>
          </w:p>
        </w:tc>
      </w:tr>
      <w:tr w:rsidR="00B45388" w:rsidRPr="003C7B5C" w:rsidTr="003C7B5C">
        <w:trPr>
          <w:trHeight w:val="335"/>
        </w:trPr>
        <w:tc>
          <w:tcPr>
            <w:tcW w:w="2070"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None</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17.4%</w:t>
            </w:r>
          </w:p>
        </w:tc>
        <w:tc>
          <w:tcPr>
            <w:tcW w:w="1823"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30.6%</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33.3%</w:t>
            </w:r>
          </w:p>
        </w:tc>
        <w:tc>
          <w:tcPr>
            <w:tcW w:w="1823"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91% increase</w:t>
            </w:r>
          </w:p>
        </w:tc>
      </w:tr>
      <w:tr w:rsidR="00B45388" w:rsidRPr="003C7B5C" w:rsidTr="003C7B5C">
        <w:trPr>
          <w:trHeight w:val="335"/>
        </w:trPr>
        <w:tc>
          <w:tcPr>
            <w:tcW w:w="2070"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1</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28.3%</w:t>
            </w:r>
          </w:p>
        </w:tc>
        <w:tc>
          <w:tcPr>
            <w:tcW w:w="1823"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25.0%</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27.3%</w:t>
            </w:r>
          </w:p>
        </w:tc>
        <w:tc>
          <w:tcPr>
            <w:tcW w:w="1823" w:type="dxa"/>
            <w:vAlign w:val="center"/>
          </w:tcPr>
          <w:p w:rsidR="00B45388" w:rsidRPr="003C7B5C" w:rsidRDefault="005C5A6E" w:rsidP="003C7B5C">
            <w:pPr>
              <w:spacing w:after="0" w:line="240" w:lineRule="auto"/>
              <w:jc w:val="center"/>
              <w:rPr>
                <w:rFonts w:ascii="Arial" w:hAnsi="Arial" w:cs="Arial"/>
                <w:sz w:val="22"/>
                <w:szCs w:val="22"/>
              </w:rPr>
            </w:pPr>
            <w:r w:rsidRPr="003C7B5C">
              <w:rPr>
                <w:rFonts w:ascii="Arial" w:hAnsi="Arial" w:cs="Arial"/>
                <w:sz w:val="22"/>
                <w:szCs w:val="22"/>
              </w:rPr>
              <w:t>3.5</w:t>
            </w:r>
            <w:r w:rsidR="00B45388" w:rsidRPr="003C7B5C">
              <w:rPr>
                <w:rFonts w:ascii="Arial" w:hAnsi="Arial" w:cs="Arial"/>
                <w:sz w:val="22"/>
                <w:szCs w:val="22"/>
              </w:rPr>
              <w:t>% decrease</w:t>
            </w:r>
          </w:p>
        </w:tc>
      </w:tr>
      <w:tr w:rsidR="00B45388" w:rsidRPr="003C7B5C" w:rsidTr="003C7B5C">
        <w:trPr>
          <w:trHeight w:val="335"/>
        </w:trPr>
        <w:tc>
          <w:tcPr>
            <w:tcW w:w="2070"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2-3</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26.1%</w:t>
            </w:r>
          </w:p>
        </w:tc>
        <w:tc>
          <w:tcPr>
            <w:tcW w:w="1823"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22.2%</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24.2%</w:t>
            </w:r>
          </w:p>
        </w:tc>
        <w:tc>
          <w:tcPr>
            <w:tcW w:w="1823" w:type="dxa"/>
            <w:vAlign w:val="center"/>
          </w:tcPr>
          <w:p w:rsidR="00B45388" w:rsidRPr="003C7B5C" w:rsidRDefault="005C5A6E" w:rsidP="003C7B5C">
            <w:pPr>
              <w:spacing w:after="0" w:line="240" w:lineRule="auto"/>
              <w:jc w:val="center"/>
              <w:rPr>
                <w:rFonts w:ascii="Arial" w:hAnsi="Arial" w:cs="Arial"/>
                <w:sz w:val="22"/>
                <w:szCs w:val="22"/>
              </w:rPr>
            </w:pPr>
            <w:r w:rsidRPr="003C7B5C">
              <w:rPr>
                <w:rFonts w:ascii="Arial" w:hAnsi="Arial" w:cs="Arial"/>
                <w:sz w:val="22"/>
                <w:szCs w:val="22"/>
              </w:rPr>
              <w:t>7.3</w:t>
            </w:r>
            <w:r w:rsidR="00B45388" w:rsidRPr="003C7B5C">
              <w:rPr>
                <w:rFonts w:ascii="Arial" w:hAnsi="Arial" w:cs="Arial"/>
                <w:sz w:val="22"/>
                <w:szCs w:val="22"/>
              </w:rPr>
              <w:t>% decrease</w:t>
            </w:r>
          </w:p>
        </w:tc>
      </w:tr>
      <w:tr w:rsidR="00B45388" w:rsidRPr="003C7B5C" w:rsidTr="003C7B5C">
        <w:trPr>
          <w:trHeight w:val="335"/>
        </w:trPr>
        <w:tc>
          <w:tcPr>
            <w:tcW w:w="2070"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4-5</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21.7%</w:t>
            </w:r>
          </w:p>
        </w:tc>
        <w:tc>
          <w:tcPr>
            <w:tcW w:w="1823"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19.4%</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9.1%</w:t>
            </w:r>
          </w:p>
        </w:tc>
        <w:tc>
          <w:tcPr>
            <w:tcW w:w="1823" w:type="dxa"/>
            <w:vAlign w:val="center"/>
          </w:tcPr>
          <w:p w:rsidR="00B45388" w:rsidRPr="003C7B5C" w:rsidRDefault="005C5A6E" w:rsidP="003C7B5C">
            <w:pPr>
              <w:spacing w:after="0" w:line="240" w:lineRule="auto"/>
              <w:jc w:val="center"/>
              <w:rPr>
                <w:rFonts w:ascii="Arial" w:hAnsi="Arial" w:cs="Arial"/>
                <w:sz w:val="22"/>
                <w:szCs w:val="22"/>
              </w:rPr>
            </w:pPr>
            <w:r w:rsidRPr="003C7B5C">
              <w:rPr>
                <w:rFonts w:ascii="Arial" w:hAnsi="Arial" w:cs="Arial"/>
                <w:sz w:val="22"/>
                <w:szCs w:val="22"/>
              </w:rPr>
              <w:t>5</w:t>
            </w:r>
            <w:r w:rsidR="00B45388" w:rsidRPr="003C7B5C">
              <w:rPr>
                <w:rFonts w:ascii="Arial" w:hAnsi="Arial" w:cs="Arial"/>
                <w:sz w:val="22"/>
                <w:szCs w:val="22"/>
              </w:rPr>
              <w:t xml:space="preserve">8% </w:t>
            </w:r>
            <w:r w:rsidRPr="003C7B5C">
              <w:rPr>
                <w:rFonts w:ascii="Arial" w:hAnsi="Arial" w:cs="Arial"/>
                <w:sz w:val="22"/>
                <w:szCs w:val="22"/>
              </w:rPr>
              <w:t>dec</w:t>
            </w:r>
            <w:r w:rsidR="00B45388" w:rsidRPr="003C7B5C">
              <w:rPr>
                <w:rFonts w:ascii="Arial" w:hAnsi="Arial" w:cs="Arial"/>
                <w:sz w:val="22"/>
                <w:szCs w:val="22"/>
              </w:rPr>
              <w:t>rease</w:t>
            </w:r>
          </w:p>
        </w:tc>
      </w:tr>
      <w:tr w:rsidR="00B45388" w:rsidRPr="003C7B5C" w:rsidTr="003C7B5C">
        <w:trPr>
          <w:trHeight w:val="335"/>
        </w:trPr>
        <w:tc>
          <w:tcPr>
            <w:tcW w:w="2070"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6+</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6.5%</w:t>
            </w:r>
          </w:p>
        </w:tc>
        <w:tc>
          <w:tcPr>
            <w:tcW w:w="1823"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2.8%</w:t>
            </w:r>
          </w:p>
        </w:tc>
        <w:tc>
          <w:tcPr>
            <w:tcW w:w="1822" w:type="dxa"/>
            <w:vAlign w:val="center"/>
          </w:tcPr>
          <w:p w:rsidR="00B45388" w:rsidRPr="003C7B5C" w:rsidRDefault="00B45388" w:rsidP="003C7B5C">
            <w:pPr>
              <w:spacing w:after="0" w:line="240" w:lineRule="auto"/>
              <w:jc w:val="center"/>
              <w:rPr>
                <w:rFonts w:ascii="Arial" w:hAnsi="Arial" w:cs="Arial"/>
                <w:sz w:val="22"/>
                <w:szCs w:val="22"/>
              </w:rPr>
            </w:pPr>
            <w:r w:rsidRPr="003C7B5C">
              <w:rPr>
                <w:rFonts w:ascii="Arial" w:hAnsi="Arial" w:cs="Arial"/>
                <w:sz w:val="22"/>
                <w:szCs w:val="22"/>
              </w:rPr>
              <w:t>6.1%</w:t>
            </w:r>
          </w:p>
        </w:tc>
        <w:tc>
          <w:tcPr>
            <w:tcW w:w="1823" w:type="dxa"/>
            <w:vAlign w:val="center"/>
          </w:tcPr>
          <w:p w:rsidR="00B45388" w:rsidRPr="003C7B5C" w:rsidRDefault="005C5A6E" w:rsidP="003C7B5C">
            <w:pPr>
              <w:spacing w:after="0" w:line="240" w:lineRule="auto"/>
              <w:jc w:val="center"/>
              <w:rPr>
                <w:rFonts w:ascii="Arial" w:hAnsi="Arial" w:cs="Arial"/>
                <w:sz w:val="22"/>
                <w:szCs w:val="22"/>
              </w:rPr>
            </w:pPr>
            <w:r w:rsidRPr="003C7B5C">
              <w:rPr>
                <w:rFonts w:ascii="Arial" w:hAnsi="Arial" w:cs="Arial"/>
                <w:sz w:val="22"/>
                <w:szCs w:val="22"/>
              </w:rPr>
              <w:t>6.1</w:t>
            </w:r>
            <w:r w:rsidR="00B45388" w:rsidRPr="003C7B5C">
              <w:rPr>
                <w:rFonts w:ascii="Arial" w:hAnsi="Arial" w:cs="Arial"/>
                <w:sz w:val="22"/>
                <w:szCs w:val="22"/>
              </w:rPr>
              <w:t>% increase</w:t>
            </w:r>
          </w:p>
        </w:tc>
      </w:tr>
    </w:tbl>
    <w:p w:rsidR="005C5A6E" w:rsidRDefault="005C5A6E" w:rsidP="00831B21">
      <w:pPr>
        <w:rPr>
          <w:rFonts w:ascii="Arial" w:hAnsi="Arial" w:cs="Arial"/>
          <w:sz w:val="24"/>
        </w:rPr>
      </w:pPr>
    </w:p>
    <w:p w:rsidR="00831B21" w:rsidRDefault="005C5A6E" w:rsidP="00831B21">
      <w:r w:rsidRPr="00B45388">
        <w:rPr>
          <w:rFonts w:ascii="Arial" w:hAnsi="Arial" w:cs="Arial"/>
          <w:sz w:val="24"/>
        </w:rPr>
        <w:t>The percent distribution of preventable risks shows that there has been a change since 2009.</w:t>
      </w:r>
      <w:r>
        <w:rPr>
          <w:rFonts w:ascii="Arial" w:hAnsi="Arial" w:cs="Arial"/>
          <w:sz w:val="24"/>
        </w:rPr>
        <w:t xml:space="preserve"> There was a large decrease in the number of participants showing 4-5 health risks</w:t>
      </w:r>
      <w:r w:rsidR="00976227">
        <w:rPr>
          <w:rFonts w:ascii="Arial" w:hAnsi="Arial" w:cs="Arial"/>
          <w:sz w:val="24"/>
        </w:rPr>
        <w:t xml:space="preserve"> [58% decrease since 2009]</w:t>
      </w:r>
      <w:r>
        <w:rPr>
          <w:rFonts w:ascii="Arial" w:hAnsi="Arial" w:cs="Arial"/>
          <w:sz w:val="24"/>
        </w:rPr>
        <w:t>. Alternatively, there was a slight increase in those participants showing 6+ health risks</w:t>
      </w:r>
      <w:r w:rsidR="00976227">
        <w:rPr>
          <w:rFonts w:ascii="Arial" w:hAnsi="Arial" w:cs="Arial"/>
          <w:sz w:val="24"/>
        </w:rPr>
        <w:t xml:space="preserve"> [6.1% increase since 2009]</w:t>
      </w:r>
      <w:r>
        <w:rPr>
          <w:rFonts w:ascii="Arial" w:hAnsi="Arial" w:cs="Arial"/>
          <w:sz w:val="24"/>
        </w:rPr>
        <w:t xml:space="preserve">. Overall, the health risk changes, over three years, </w:t>
      </w:r>
      <w:r w:rsidR="00976227">
        <w:rPr>
          <w:rFonts w:ascii="Arial" w:hAnsi="Arial" w:cs="Arial"/>
          <w:sz w:val="24"/>
        </w:rPr>
        <w:t xml:space="preserve">are </w:t>
      </w:r>
      <w:r>
        <w:rPr>
          <w:rFonts w:ascii="Arial" w:hAnsi="Arial" w:cs="Arial"/>
          <w:sz w:val="24"/>
        </w:rPr>
        <w:t>very encouraging and rewarding.</w:t>
      </w:r>
    </w:p>
    <w:p w:rsidR="007233C5" w:rsidRDefault="007233C5" w:rsidP="00D8140E">
      <w:pPr>
        <w:rPr>
          <w:rFonts w:ascii="Arial" w:hAnsi="Arial" w:cs="Arial"/>
          <w:b/>
          <w:i/>
          <w:sz w:val="24"/>
          <w:szCs w:val="24"/>
        </w:rPr>
      </w:pPr>
    </w:p>
    <w:p w:rsidR="007233C5" w:rsidRPr="00456722" w:rsidRDefault="007233C5" w:rsidP="00D8140E">
      <w:pPr>
        <w:rPr>
          <w:rFonts w:ascii="Arial" w:hAnsi="Arial" w:cs="Arial"/>
          <w:b/>
          <w:i/>
          <w:sz w:val="24"/>
          <w:szCs w:val="24"/>
        </w:rPr>
      </w:pPr>
      <w:r w:rsidRPr="00456722">
        <w:rPr>
          <w:rFonts w:ascii="Arial" w:hAnsi="Arial" w:cs="Arial"/>
          <w:b/>
          <w:i/>
          <w:sz w:val="24"/>
          <w:szCs w:val="24"/>
        </w:rPr>
        <w:t>2011 Wellness Initiative Discussion</w:t>
      </w:r>
    </w:p>
    <w:p w:rsidR="007233C5" w:rsidRPr="00456722" w:rsidRDefault="007233C5" w:rsidP="00D8140E">
      <w:pPr>
        <w:rPr>
          <w:rFonts w:ascii="Arial" w:hAnsi="Arial" w:cs="Arial"/>
          <w:sz w:val="24"/>
          <w:szCs w:val="24"/>
        </w:rPr>
      </w:pPr>
      <w:r w:rsidRPr="00456722">
        <w:rPr>
          <w:rFonts w:ascii="Arial" w:hAnsi="Arial" w:cs="Arial"/>
          <w:sz w:val="24"/>
          <w:szCs w:val="24"/>
        </w:rPr>
        <w:t xml:space="preserve">The Personal Wellness Profile is an assessment tool used to determine the areas of focus for wellness program initiatives. It also provides management with an idea of the costs and savings associated with employees with health risks. </w:t>
      </w:r>
    </w:p>
    <w:p w:rsidR="007233C5" w:rsidRPr="00456722" w:rsidRDefault="007233C5" w:rsidP="00D8140E">
      <w:pPr>
        <w:rPr>
          <w:rFonts w:ascii="Arial" w:hAnsi="Arial" w:cs="Arial"/>
          <w:sz w:val="24"/>
          <w:szCs w:val="24"/>
        </w:rPr>
      </w:pPr>
      <w:r w:rsidRPr="00456722">
        <w:rPr>
          <w:rFonts w:ascii="Arial" w:hAnsi="Arial" w:cs="Arial"/>
          <w:sz w:val="24"/>
          <w:szCs w:val="24"/>
        </w:rPr>
        <w:t xml:space="preserve">The next PWP period is </w:t>
      </w:r>
      <w:r>
        <w:rPr>
          <w:rFonts w:ascii="Arial" w:hAnsi="Arial" w:cs="Arial"/>
          <w:sz w:val="24"/>
          <w:szCs w:val="24"/>
        </w:rPr>
        <w:t xml:space="preserve">May </w:t>
      </w:r>
      <w:r w:rsidRPr="00456722">
        <w:rPr>
          <w:rFonts w:ascii="Arial" w:hAnsi="Arial" w:cs="Arial"/>
          <w:sz w:val="24"/>
          <w:szCs w:val="24"/>
        </w:rPr>
        <w:t>201</w:t>
      </w:r>
      <w:r w:rsidR="00831B21">
        <w:rPr>
          <w:rFonts w:ascii="Arial" w:hAnsi="Arial" w:cs="Arial"/>
          <w:sz w:val="24"/>
          <w:szCs w:val="24"/>
        </w:rPr>
        <w:t>2</w:t>
      </w:r>
      <w:r w:rsidRPr="00456722">
        <w:rPr>
          <w:rFonts w:ascii="Arial" w:hAnsi="Arial" w:cs="Arial"/>
          <w:sz w:val="24"/>
          <w:szCs w:val="24"/>
        </w:rPr>
        <w:t>. A report outlining an Executive Summary, Group Summary, and Economics/Benefits will be presented to management.</w:t>
      </w:r>
    </w:p>
    <w:p w:rsidR="00B3071C" w:rsidRDefault="00B3071C" w:rsidP="00D8140E">
      <w:pPr>
        <w:rPr>
          <w:rFonts w:ascii="Arial" w:hAnsi="Arial" w:cs="Arial"/>
          <w:sz w:val="24"/>
          <w:szCs w:val="24"/>
        </w:rPr>
      </w:pPr>
      <w:r>
        <w:rPr>
          <w:rFonts w:ascii="Arial" w:hAnsi="Arial" w:cs="Arial"/>
          <w:sz w:val="24"/>
          <w:szCs w:val="24"/>
        </w:rPr>
        <w:t xml:space="preserve">Over the last 6 months of wellness programming, many of the health risks were targeted from the last PWP campaign. Specifically initiatives targeting fitness, nutrition, weight management and heart health were presented to staff. </w:t>
      </w:r>
      <w:r w:rsidR="007233C5" w:rsidRPr="00456722">
        <w:rPr>
          <w:rFonts w:ascii="Arial" w:hAnsi="Arial" w:cs="Arial"/>
          <w:sz w:val="24"/>
          <w:szCs w:val="24"/>
        </w:rPr>
        <w:t xml:space="preserve">The 2011 program will </w:t>
      </w:r>
      <w:r>
        <w:rPr>
          <w:rFonts w:ascii="Arial" w:hAnsi="Arial" w:cs="Arial"/>
          <w:sz w:val="24"/>
          <w:szCs w:val="24"/>
        </w:rPr>
        <w:t xml:space="preserve">continue to </w:t>
      </w:r>
      <w:r w:rsidR="007233C5" w:rsidRPr="00456722">
        <w:rPr>
          <w:rFonts w:ascii="Arial" w:hAnsi="Arial" w:cs="Arial"/>
          <w:sz w:val="24"/>
          <w:szCs w:val="24"/>
        </w:rPr>
        <w:t>focus on</w:t>
      </w:r>
      <w:r w:rsidR="007233C5">
        <w:rPr>
          <w:rFonts w:ascii="Arial" w:hAnsi="Arial" w:cs="Arial"/>
          <w:sz w:val="24"/>
          <w:szCs w:val="24"/>
        </w:rPr>
        <w:t xml:space="preserve"> the health risk profile that </w:t>
      </w:r>
      <w:r>
        <w:rPr>
          <w:rFonts w:ascii="Arial" w:hAnsi="Arial" w:cs="Arial"/>
          <w:sz w:val="24"/>
          <w:szCs w:val="24"/>
        </w:rPr>
        <w:t>was completed in May 2011.</w:t>
      </w:r>
      <w:r w:rsidR="007233C5" w:rsidRPr="00456722">
        <w:rPr>
          <w:rFonts w:ascii="Arial" w:hAnsi="Arial" w:cs="Arial"/>
          <w:sz w:val="24"/>
          <w:szCs w:val="24"/>
        </w:rPr>
        <w:t xml:space="preserve"> </w:t>
      </w:r>
    </w:p>
    <w:p w:rsidR="00B3071C" w:rsidRDefault="00B3071C" w:rsidP="00D8140E">
      <w:pPr>
        <w:rPr>
          <w:rFonts w:ascii="Arial" w:hAnsi="Arial" w:cs="Arial"/>
          <w:sz w:val="24"/>
          <w:szCs w:val="24"/>
        </w:rPr>
      </w:pPr>
      <w:r>
        <w:rPr>
          <w:rFonts w:ascii="Arial" w:hAnsi="Arial" w:cs="Arial"/>
          <w:sz w:val="24"/>
          <w:szCs w:val="24"/>
        </w:rPr>
        <w:t>A full summary of the wellness programming for the last 6 months is seen in Appendix A.</w:t>
      </w:r>
    </w:p>
    <w:p w:rsidR="00B3071C" w:rsidRDefault="00B3071C" w:rsidP="00D8140E">
      <w:pPr>
        <w:rPr>
          <w:rFonts w:ascii="Arial" w:hAnsi="Arial" w:cs="Arial"/>
          <w:sz w:val="24"/>
          <w:szCs w:val="24"/>
        </w:rPr>
      </w:pPr>
      <w:r>
        <w:rPr>
          <w:rFonts w:ascii="Arial" w:hAnsi="Arial" w:cs="Arial"/>
          <w:sz w:val="24"/>
          <w:szCs w:val="24"/>
        </w:rPr>
        <w:t>H</w:t>
      </w:r>
      <w:r w:rsidR="007233C5" w:rsidRPr="00456722">
        <w:rPr>
          <w:rFonts w:ascii="Arial" w:hAnsi="Arial" w:cs="Arial"/>
          <w:sz w:val="24"/>
          <w:szCs w:val="24"/>
        </w:rPr>
        <w:t>ealthy lifestyle habits/behaviours will continue to be addressed by expanding the wellness program to include visits from area strategic wellness affiliates</w:t>
      </w:r>
      <w:r>
        <w:rPr>
          <w:rFonts w:ascii="Arial" w:hAnsi="Arial" w:cs="Arial"/>
          <w:sz w:val="24"/>
          <w:szCs w:val="24"/>
        </w:rPr>
        <w:t xml:space="preserve"> at the annual Health Fair [projected for January 2012]</w:t>
      </w:r>
      <w:r w:rsidR="007233C5" w:rsidRPr="00456722">
        <w:rPr>
          <w:rFonts w:ascii="Arial" w:hAnsi="Arial" w:cs="Arial"/>
          <w:sz w:val="24"/>
          <w:szCs w:val="24"/>
        </w:rPr>
        <w:t xml:space="preserve">. </w:t>
      </w:r>
      <w:r w:rsidR="007233C5">
        <w:rPr>
          <w:rFonts w:ascii="Arial" w:hAnsi="Arial" w:cs="Arial"/>
          <w:sz w:val="24"/>
          <w:szCs w:val="24"/>
        </w:rPr>
        <w:t>On-site exercise classes will continue, and a</w:t>
      </w:r>
      <w:r w:rsidR="007233C5" w:rsidRPr="00456722">
        <w:rPr>
          <w:rFonts w:ascii="Arial" w:hAnsi="Arial" w:cs="Arial"/>
          <w:sz w:val="24"/>
          <w:szCs w:val="24"/>
        </w:rPr>
        <w:t xml:space="preserve">wareness programs like the healthy recipe circulation, newsletters, </w:t>
      </w:r>
      <w:r>
        <w:rPr>
          <w:rFonts w:ascii="Arial" w:hAnsi="Arial" w:cs="Arial"/>
          <w:sz w:val="24"/>
          <w:szCs w:val="24"/>
        </w:rPr>
        <w:t>team building programs,</w:t>
      </w:r>
      <w:r w:rsidR="007233C5" w:rsidRPr="00456722">
        <w:rPr>
          <w:rFonts w:ascii="Arial" w:hAnsi="Arial" w:cs="Arial"/>
          <w:sz w:val="24"/>
          <w:szCs w:val="24"/>
        </w:rPr>
        <w:t xml:space="preserve"> health education kiosks</w:t>
      </w:r>
      <w:r>
        <w:rPr>
          <w:rFonts w:ascii="Arial" w:hAnsi="Arial" w:cs="Arial"/>
          <w:sz w:val="24"/>
          <w:szCs w:val="24"/>
        </w:rPr>
        <w:t xml:space="preserve">, themed walk arounds, Smoothie Days, and </w:t>
      </w:r>
      <w:r>
        <w:rPr>
          <w:rFonts w:ascii="Arial" w:hAnsi="Arial" w:cs="Arial"/>
          <w:sz w:val="24"/>
          <w:szCs w:val="24"/>
        </w:rPr>
        <w:lastRenderedPageBreak/>
        <w:t>educational awareness material</w:t>
      </w:r>
      <w:r w:rsidR="007233C5">
        <w:rPr>
          <w:rFonts w:ascii="Arial" w:hAnsi="Arial" w:cs="Arial"/>
          <w:sz w:val="24"/>
          <w:szCs w:val="24"/>
        </w:rPr>
        <w:t xml:space="preserve"> will also be presented </w:t>
      </w:r>
      <w:r>
        <w:rPr>
          <w:rFonts w:ascii="Arial" w:hAnsi="Arial" w:cs="Arial"/>
          <w:sz w:val="24"/>
          <w:szCs w:val="24"/>
        </w:rPr>
        <w:t xml:space="preserve">with input from the wellness committee. </w:t>
      </w:r>
    </w:p>
    <w:p w:rsidR="007233C5" w:rsidRDefault="007233C5" w:rsidP="00D8140E">
      <w:pPr>
        <w:rPr>
          <w:rFonts w:ascii="Arial" w:hAnsi="Arial" w:cs="Arial"/>
          <w:sz w:val="24"/>
          <w:szCs w:val="24"/>
        </w:rPr>
      </w:pPr>
      <w:r w:rsidRPr="00456722">
        <w:rPr>
          <w:rFonts w:ascii="Arial" w:hAnsi="Arial" w:cs="Arial"/>
          <w:sz w:val="24"/>
          <w:szCs w:val="24"/>
        </w:rPr>
        <w:t xml:space="preserve">It is important to note that all time associated with implementing the group programs and workshops, have to be adjusted from the on-site wellness consultation time/hours. </w:t>
      </w:r>
    </w:p>
    <w:p w:rsidR="001D6E11" w:rsidRDefault="001D6E11" w:rsidP="001D6E11">
      <w:pPr>
        <w:pStyle w:val="NoSpacing"/>
      </w:pPr>
    </w:p>
    <w:p w:rsidR="001D6E11" w:rsidRDefault="001D6E11" w:rsidP="001D6E11">
      <w:pPr>
        <w:pStyle w:val="NoSpacing"/>
      </w:pPr>
    </w:p>
    <w:p w:rsidR="001D6E11" w:rsidRDefault="001D6E11" w:rsidP="001D6E11">
      <w:pPr>
        <w:pStyle w:val="NoSpacing"/>
      </w:pPr>
    </w:p>
    <w:p w:rsidR="001D6E11" w:rsidRPr="00456722" w:rsidRDefault="001D6E11" w:rsidP="001D6E11">
      <w:pPr>
        <w:pStyle w:val="NoSpacing"/>
        <w:rPr>
          <w:b/>
        </w:rPr>
      </w:pPr>
    </w:p>
    <w:p w:rsidR="007233C5" w:rsidRDefault="007233C5" w:rsidP="00507E1B">
      <w:pPr>
        <w:pStyle w:val="NoSpacing"/>
        <w:rPr>
          <w:rFonts w:ascii="Arial" w:hAnsi="Arial" w:cs="Arial"/>
          <w:b/>
          <w:sz w:val="24"/>
          <w:szCs w:val="24"/>
        </w:rPr>
      </w:pPr>
      <w:r w:rsidRPr="00E4344F">
        <w:rPr>
          <w:rFonts w:ascii="Arial" w:hAnsi="Arial" w:cs="Arial"/>
          <w:b/>
          <w:sz w:val="24"/>
          <w:szCs w:val="24"/>
        </w:rPr>
        <w:t xml:space="preserve">Appendix A – Wellness Program Summary </w:t>
      </w:r>
      <w:r w:rsidR="00976227">
        <w:rPr>
          <w:rFonts w:ascii="Arial" w:hAnsi="Arial" w:cs="Arial"/>
          <w:b/>
          <w:sz w:val="24"/>
          <w:szCs w:val="24"/>
        </w:rPr>
        <w:t>January - July</w:t>
      </w:r>
      <w:r>
        <w:rPr>
          <w:rFonts w:ascii="Arial" w:hAnsi="Arial" w:cs="Arial"/>
          <w:b/>
          <w:sz w:val="24"/>
          <w:szCs w:val="24"/>
        </w:rPr>
        <w:t xml:space="preserve"> </w:t>
      </w:r>
      <w:r w:rsidR="00976227">
        <w:rPr>
          <w:rFonts w:ascii="Arial" w:hAnsi="Arial" w:cs="Arial"/>
          <w:b/>
          <w:sz w:val="24"/>
          <w:szCs w:val="24"/>
        </w:rPr>
        <w:t>2011</w:t>
      </w:r>
    </w:p>
    <w:p w:rsidR="001D6E11" w:rsidRPr="00E4344F" w:rsidRDefault="001D6E11" w:rsidP="00507E1B">
      <w:pPr>
        <w:pStyle w:val="NoSpacing"/>
        <w:rPr>
          <w:rFonts w:ascii="Arial" w:hAnsi="Arial" w:cs="Arial"/>
          <w:b/>
          <w:sz w:val="24"/>
          <w:szCs w:val="24"/>
        </w:rPr>
      </w:pPr>
    </w:p>
    <w:p w:rsidR="007233C5" w:rsidRPr="00E4344F" w:rsidRDefault="007233C5" w:rsidP="00507E1B">
      <w:pPr>
        <w:pStyle w:val="NoSpacing"/>
        <w:rPr>
          <w:rFonts w:ascii="Arial" w:hAnsi="Arial" w:cs="Arial"/>
          <w:b/>
          <w:sz w:val="24"/>
          <w:szCs w:val="24"/>
        </w:rPr>
      </w:pPr>
    </w:p>
    <w:tbl>
      <w:tblPr>
        <w:tblW w:w="9880" w:type="dxa"/>
        <w:tblInd w:w="93" w:type="dxa"/>
        <w:tblLook w:val="04A0" w:firstRow="1" w:lastRow="0" w:firstColumn="1" w:lastColumn="0" w:noHBand="0" w:noVBand="1"/>
      </w:tblPr>
      <w:tblGrid>
        <w:gridCol w:w="1072"/>
        <w:gridCol w:w="1528"/>
        <w:gridCol w:w="2394"/>
        <w:gridCol w:w="1495"/>
        <w:gridCol w:w="3391"/>
      </w:tblGrid>
      <w:tr w:rsidR="00F27560" w:rsidRPr="003C7B5C" w:rsidTr="00B811D8">
        <w:trPr>
          <w:trHeight w:val="448"/>
        </w:trPr>
        <w:tc>
          <w:tcPr>
            <w:tcW w:w="1072"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F27560" w:rsidRPr="003C7B5C" w:rsidRDefault="00F27560" w:rsidP="00B811D8">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Month</w:t>
            </w:r>
          </w:p>
        </w:tc>
        <w:tc>
          <w:tcPr>
            <w:tcW w:w="1528"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F27560" w:rsidRPr="003C7B5C" w:rsidRDefault="00F27560" w:rsidP="00B811D8">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Date/Duration</w:t>
            </w:r>
          </w:p>
        </w:tc>
        <w:tc>
          <w:tcPr>
            <w:tcW w:w="239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rsidR="00F27560" w:rsidRPr="003C7B5C" w:rsidRDefault="00F27560" w:rsidP="00B811D8">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Initiative</w:t>
            </w:r>
          </w:p>
        </w:tc>
        <w:tc>
          <w:tcPr>
            <w:tcW w:w="1495"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F27560" w:rsidRPr="003C7B5C" w:rsidRDefault="00F27560" w:rsidP="00B811D8">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Participation</w:t>
            </w:r>
          </w:p>
        </w:tc>
        <w:tc>
          <w:tcPr>
            <w:tcW w:w="3391"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F27560" w:rsidRPr="003C7B5C" w:rsidRDefault="00F27560" w:rsidP="00B811D8">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Notes</w:t>
            </w:r>
          </w:p>
        </w:tc>
      </w:tr>
      <w:tr w:rsidR="00B811D8" w:rsidRPr="003C7B5C" w:rsidTr="00B811D8">
        <w:trPr>
          <w:trHeight w:val="255"/>
        </w:trPr>
        <w:tc>
          <w:tcPr>
            <w:tcW w:w="107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January</w:t>
            </w: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Weekly</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One-on-one consultations</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17</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14 employees - 1 visit, 1 employees - 3 visits</w:t>
            </w:r>
          </w:p>
        </w:tc>
      </w:tr>
      <w:tr w:rsidR="00B811D8" w:rsidRPr="003C7B5C" w:rsidTr="00B811D8">
        <w:trPr>
          <w:trHeight w:val="255"/>
        </w:trPr>
        <w:tc>
          <w:tcPr>
            <w:tcW w:w="1072" w:type="dxa"/>
            <w:vMerge/>
            <w:tcBorders>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4th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Wellness Committee meeting</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 </w:t>
            </w:r>
          </w:p>
        </w:tc>
      </w:tr>
      <w:tr w:rsidR="00B811D8" w:rsidRPr="003C7B5C" w:rsidTr="00B811D8">
        <w:trPr>
          <w:trHeight w:val="765"/>
        </w:trPr>
        <w:tc>
          <w:tcPr>
            <w:tcW w:w="1072" w:type="dxa"/>
            <w:vMerge/>
            <w:tcBorders>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6th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Interest Survey</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16</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Interest survey conducted to give employees the opportunity to express their preferences for upcoming initiatives.</w:t>
            </w:r>
          </w:p>
        </w:tc>
      </w:tr>
      <w:tr w:rsidR="00B811D8" w:rsidRPr="003C7B5C" w:rsidTr="00B811D8">
        <w:trPr>
          <w:trHeight w:val="1530"/>
        </w:trPr>
        <w:tc>
          <w:tcPr>
            <w:tcW w:w="1072"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18th-Feb 8th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Healthy Lifestyle Poker</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8 teams</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 12-workday challenge where participants carry out healthy tasks in order to get cards towards a winning poker hand. Best hand winners: 1st – Michaela Wilvert’s team [4 of a kind], 2nd – Lois Stainton’s team [full house], 3rd – Wendy Mobbs team [flush]</w:t>
            </w:r>
          </w:p>
        </w:tc>
      </w:tr>
      <w:tr w:rsidR="00B811D8" w:rsidRPr="003C7B5C" w:rsidTr="00B811D8">
        <w:trPr>
          <w:trHeight w:val="255"/>
        </w:trPr>
        <w:tc>
          <w:tcPr>
            <w:tcW w:w="107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February</w:t>
            </w: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Weekly</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One-on-one consultations</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21</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17 employees - 1 visit, 2 employees - 2 visits</w:t>
            </w:r>
          </w:p>
        </w:tc>
      </w:tr>
      <w:tr w:rsidR="00B811D8" w:rsidRPr="003C7B5C" w:rsidTr="00B811D8">
        <w:trPr>
          <w:trHeight w:val="255"/>
        </w:trPr>
        <w:tc>
          <w:tcPr>
            <w:tcW w:w="1072" w:type="dxa"/>
            <w:vMerge/>
            <w:tcBorders>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All Month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Blood Pressure Kiosk</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all staff</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Education kiosk set up in staff kitchen.</w:t>
            </w:r>
          </w:p>
        </w:tc>
      </w:tr>
      <w:tr w:rsidR="00B811D8" w:rsidRPr="003C7B5C" w:rsidTr="00B811D8">
        <w:trPr>
          <w:trHeight w:val="765"/>
        </w:trPr>
        <w:tc>
          <w:tcPr>
            <w:tcW w:w="1072" w:type="dxa"/>
            <w:vMerge/>
            <w:tcBorders>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8th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Healthy Hearts Walk-Around</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80</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Meghan gives out Rooibos tea and informational handout to recognize Healthy Hearts Month.</w:t>
            </w:r>
          </w:p>
        </w:tc>
      </w:tr>
      <w:tr w:rsidR="00B811D8" w:rsidRPr="003C7B5C" w:rsidTr="00B811D8">
        <w:trPr>
          <w:trHeight w:val="255"/>
        </w:trPr>
        <w:tc>
          <w:tcPr>
            <w:tcW w:w="1072" w:type="dxa"/>
            <w:vMerge/>
            <w:tcBorders>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9th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Wellness Committee meeting</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 </w:t>
            </w:r>
          </w:p>
        </w:tc>
      </w:tr>
      <w:tr w:rsidR="00B811D8" w:rsidRPr="003C7B5C" w:rsidTr="00B811D8">
        <w:trPr>
          <w:trHeight w:val="765"/>
        </w:trPr>
        <w:tc>
          <w:tcPr>
            <w:tcW w:w="1072"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8th, 15th, 22nd</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Health Hearts E-campaign</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 4-week e-campaign focusing on how blood pressure, cholesterol, and healthy living ward off heart disease.</w:t>
            </w:r>
          </w:p>
        </w:tc>
      </w:tr>
      <w:tr w:rsidR="00B811D8" w:rsidRPr="003C7B5C" w:rsidTr="00B811D8">
        <w:trPr>
          <w:trHeight w:val="255"/>
        </w:trPr>
        <w:tc>
          <w:tcPr>
            <w:tcW w:w="107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March</w:t>
            </w: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Weekly</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One-on-one consultations</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30</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14 employees - 1 visit, 8 employees - 2 visits</w:t>
            </w:r>
          </w:p>
        </w:tc>
      </w:tr>
      <w:tr w:rsidR="00B811D8" w:rsidRPr="003C7B5C" w:rsidTr="00B811D8">
        <w:trPr>
          <w:trHeight w:val="765"/>
        </w:trPr>
        <w:tc>
          <w:tcPr>
            <w:tcW w:w="1072" w:type="dxa"/>
            <w:vMerge/>
            <w:tcBorders>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1st (8 Tuesdays)</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Group Exercise 12:30-1:30pm</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9,7,5,7,5,6,1,2</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An 8-week core and strengthening series with Meghan Davey in the Multipurpose Room.</w:t>
            </w:r>
          </w:p>
        </w:tc>
      </w:tr>
      <w:tr w:rsidR="00B811D8" w:rsidRPr="003C7B5C" w:rsidTr="00B811D8">
        <w:trPr>
          <w:trHeight w:val="765"/>
        </w:trPr>
        <w:tc>
          <w:tcPr>
            <w:tcW w:w="1072" w:type="dxa"/>
            <w:vMerge/>
            <w:tcBorders>
              <w:left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29th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DCAFS Healthy Snack and Wellness Break</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all staff</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Healthy snacks available for staff. Sponsored by DCAFS and EWSNetwork. Poker prizes presented to winning team.</w:t>
            </w:r>
          </w:p>
        </w:tc>
      </w:tr>
      <w:tr w:rsidR="00B811D8" w:rsidRPr="003C7B5C" w:rsidTr="001D6E11">
        <w:trPr>
          <w:trHeight w:val="255"/>
        </w:trPr>
        <w:tc>
          <w:tcPr>
            <w:tcW w:w="1072"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29th</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Wellness Committee meeting</w:t>
            </w:r>
          </w:p>
        </w:tc>
        <w:tc>
          <w:tcPr>
            <w:tcW w:w="1495"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 </w:t>
            </w:r>
          </w:p>
        </w:tc>
      </w:tr>
      <w:tr w:rsidR="00B811D8" w:rsidRPr="003C7B5C" w:rsidTr="001D6E11">
        <w:trPr>
          <w:trHeight w:val="255"/>
        </w:trPr>
        <w:tc>
          <w:tcPr>
            <w:tcW w:w="107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lastRenderedPageBreak/>
              <w:t>April</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Weekly</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One-on-one consultations</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22</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14 employees - 1 visit, 4 employees - 2 visits</w:t>
            </w:r>
          </w:p>
        </w:tc>
      </w:tr>
      <w:tr w:rsidR="00B811D8" w:rsidRPr="003C7B5C" w:rsidTr="001D6E11">
        <w:trPr>
          <w:trHeight w:val="510"/>
        </w:trPr>
        <w:tc>
          <w:tcPr>
            <w:tcW w:w="1072" w:type="dxa"/>
            <w:vMerge/>
            <w:tcBorders>
              <w:left w:val="single" w:sz="4" w:space="0" w:color="auto"/>
              <w:right w:val="single" w:sz="4" w:space="0" w:color="auto"/>
            </w:tcBorders>
            <w:shd w:val="clear" w:color="auto" w:fill="D9D9D9" w:themeFill="background1" w:themeFillShade="D9"/>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6th-May 25th</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Wellness Wednesday</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all staff</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E-mail awareness campaign. Recipes for employees and their families.</w:t>
            </w:r>
          </w:p>
        </w:tc>
      </w:tr>
      <w:tr w:rsidR="00F27560" w:rsidRPr="003C7B5C" w:rsidTr="00B811D8">
        <w:trPr>
          <w:trHeight w:val="510"/>
        </w:trPr>
        <w:tc>
          <w:tcPr>
            <w:tcW w:w="107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27560" w:rsidRPr="003C7B5C" w:rsidRDefault="00F27560"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vAlign w:val="center"/>
            <w:hideMark/>
          </w:tcPr>
          <w:p w:rsidR="00F27560" w:rsidRPr="003C7B5C" w:rsidRDefault="00F27560"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20th</w:t>
            </w:r>
          </w:p>
        </w:tc>
        <w:tc>
          <w:tcPr>
            <w:tcW w:w="2394" w:type="dxa"/>
            <w:tcBorders>
              <w:top w:val="nil"/>
              <w:left w:val="nil"/>
              <w:bottom w:val="single" w:sz="4" w:space="0" w:color="auto"/>
              <w:right w:val="single" w:sz="4" w:space="0" w:color="auto"/>
            </w:tcBorders>
            <w:shd w:val="clear" w:color="auto" w:fill="auto"/>
            <w:vAlign w:val="center"/>
            <w:hideMark/>
          </w:tcPr>
          <w:p w:rsidR="00F27560" w:rsidRPr="003C7B5C" w:rsidRDefault="00F27560"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Eating on the Go 12:30-1:30</w:t>
            </w:r>
          </w:p>
        </w:tc>
        <w:tc>
          <w:tcPr>
            <w:tcW w:w="1495" w:type="dxa"/>
            <w:tcBorders>
              <w:top w:val="nil"/>
              <w:left w:val="nil"/>
              <w:bottom w:val="single" w:sz="4" w:space="0" w:color="auto"/>
              <w:right w:val="single" w:sz="4" w:space="0" w:color="auto"/>
            </w:tcBorders>
            <w:shd w:val="clear" w:color="auto" w:fill="auto"/>
            <w:vAlign w:val="center"/>
            <w:hideMark/>
          </w:tcPr>
          <w:p w:rsidR="00F27560" w:rsidRPr="003C7B5C" w:rsidRDefault="00F27560"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8</w:t>
            </w:r>
          </w:p>
        </w:tc>
        <w:tc>
          <w:tcPr>
            <w:tcW w:w="3391" w:type="dxa"/>
            <w:tcBorders>
              <w:top w:val="nil"/>
              <w:left w:val="nil"/>
              <w:bottom w:val="single" w:sz="4" w:space="0" w:color="auto"/>
              <w:right w:val="single" w:sz="8" w:space="0" w:color="auto"/>
            </w:tcBorders>
            <w:shd w:val="clear" w:color="auto" w:fill="auto"/>
            <w:vAlign w:val="center"/>
            <w:hideMark/>
          </w:tcPr>
          <w:p w:rsidR="00F27560" w:rsidRPr="003C7B5C" w:rsidRDefault="00F27560"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Eating on the Go lunch n' learn presented by Meaghan Jansen.</w:t>
            </w:r>
          </w:p>
        </w:tc>
      </w:tr>
      <w:tr w:rsidR="00B811D8" w:rsidRPr="003C7B5C" w:rsidTr="00B811D8">
        <w:trPr>
          <w:trHeight w:val="510"/>
        </w:trPr>
        <w:tc>
          <w:tcPr>
            <w:tcW w:w="107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May</w:t>
            </w: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Weekly</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One-on-one consultations</w:t>
            </w:r>
          </w:p>
        </w:tc>
        <w:tc>
          <w:tcPr>
            <w:tcW w:w="1495"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27</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14 employees - 1 visit, 5 employees - 2 visits, 1 employee, 3 visits</w:t>
            </w:r>
          </w:p>
        </w:tc>
      </w:tr>
      <w:tr w:rsidR="00B811D8" w:rsidRPr="003C7B5C" w:rsidTr="00B811D8">
        <w:trPr>
          <w:trHeight w:val="1020"/>
        </w:trPr>
        <w:tc>
          <w:tcPr>
            <w:tcW w:w="1072" w:type="dxa"/>
            <w:vMerge/>
            <w:tcBorders>
              <w:left w:val="single" w:sz="4" w:space="0" w:color="auto"/>
              <w:right w:val="single" w:sz="4" w:space="0" w:color="auto"/>
            </w:tcBorders>
            <w:shd w:val="clear" w:color="auto" w:fill="D9D9D9" w:themeFill="background1" w:themeFillShade="D9"/>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Personal Wellness Profile</w:t>
            </w:r>
          </w:p>
        </w:tc>
        <w:tc>
          <w:tcPr>
            <w:tcW w:w="1495"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43% participants</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Awareness campaign to establish baseline health risk profiles for employees. Group trend reports and corporate analyses are presented to management.</w:t>
            </w:r>
          </w:p>
        </w:tc>
      </w:tr>
      <w:tr w:rsidR="00B811D8" w:rsidRPr="003C7B5C" w:rsidTr="00B811D8">
        <w:trPr>
          <w:trHeight w:val="1020"/>
        </w:trPr>
        <w:tc>
          <w:tcPr>
            <w:tcW w:w="1072"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p>
        </w:tc>
        <w:tc>
          <w:tcPr>
            <w:tcW w:w="1528"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31st</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Staff Meeting</w:t>
            </w:r>
          </w:p>
        </w:tc>
        <w:tc>
          <w:tcPr>
            <w:tcW w:w="1495"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all staff</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Meaghan Jansen attended to deliver wellness program re-cap and launch of Walking Works. A team-building ice-breaker was delivered as well.</w:t>
            </w:r>
          </w:p>
        </w:tc>
      </w:tr>
      <w:tr w:rsidR="00B811D8" w:rsidRPr="003C7B5C" w:rsidTr="00B811D8">
        <w:trPr>
          <w:trHeight w:val="255"/>
        </w:trPr>
        <w:tc>
          <w:tcPr>
            <w:tcW w:w="107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B811D8" w:rsidRPr="003C7B5C" w:rsidRDefault="00B811D8" w:rsidP="003C7B5C">
            <w:pPr>
              <w:spacing w:after="0" w:line="240" w:lineRule="auto"/>
              <w:jc w:val="center"/>
              <w:rPr>
                <w:rFonts w:ascii="Arial" w:eastAsia="Times New Roman" w:hAnsi="Arial" w:cs="Arial"/>
                <w:b/>
                <w:bCs/>
                <w:sz w:val="20"/>
                <w:szCs w:val="20"/>
                <w:lang w:val="en-CA" w:eastAsia="en-CA"/>
              </w:rPr>
            </w:pPr>
            <w:r w:rsidRPr="003C7B5C">
              <w:rPr>
                <w:rFonts w:ascii="Arial" w:eastAsia="Times New Roman" w:hAnsi="Arial" w:cs="Arial"/>
                <w:b/>
                <w:bCs/>
                <w:sz w:val="20"/>
                <w:szCs w:val="20"/>
                <w:lang w:val="en-CA" w:eastAsia="en-CA"/>
              </w:rPr>
              <w:t>June</w:t>
            </w:r>
          </w:p>
        </w:tc>
        <w:tc>
          <w:tcPr>
            <w:tcW w:w="1528" w:type="dxa"/>
            <w:tcBorders>
              <w:top w:val="nil"/>
              <w:left w:val="nil"/>
              <w:bottom w:val="single" w:sz="4" w:space="0" w:color="auto"/>
              <w:right w:val="single" w:sz="4" w:space="0" w:color="auto"/>
            </w:tcBorders>
            <w:shd w:val="clear" w:color="auto" w:fill="auto"/>
            <w:noWrap/>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Weekly</w:t>
            </w:r>
          </w:p>
        </w:tc>
        <w:tc>
          <w:tcPr>
            <w:tcW w:w="2394"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One-on-one consultations</w:t>
            </w:r>
          </w:p>
        </w:tc>
        <w:tc>
          <w:tcPr>
            <w:tcW w:w="1495" w:type="dxa"/>
            <w:tcBorders>
              <w:top w:val="nil"/>
              <w:left w:val="nil"/>
              <w:bottom w:val="single" w:sz="4"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30</w:t>
            </w:r>
          </w:p>
        </w:tc>
        <w:tc>
          <w:tcPr>
            <w:tcW w:w="3391" w:type="dxa"/>
            <w:tcBorders>
              <w:top w:val="nil"/>
              <w:left w:val="nil"/>
              <w:bottom w:val="single" w:sz="4"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18 employees - 1 visit, 6 employees - 2 visits</w:t>
            </w:r>
          </w:p>
        </w:tc>
      </w:tr>
      <w:tr w:rsidR="00B811D8" w:rsidRPr="003C7B5C" w:rsidTr="00B811D8">
        <w:trPr>
          <w:trHeight w:val="1545"/>
        </w:trPr>
        <w:tc>
          <w:tcPr>
            <w:tcW w:w="1072"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B811D8" w:rsidRPr="003C7B5C" w:rsidRDefault="00B811D8" w:rsidP="003C7B5C">
            <w:pPr>
              <w:spacing w:after="0" w:line="240" w:lineRule="auto"/>
              <w:rPr>
                <w:rFonts w:ascii="Arial" w:eastAsia="Times New Roman" w:hAnsi="Arial" w:cs="Arial"/>
                <w:b/>
                <w:bCs/>
                <w:sz w:val="20"/>
                <w:szCs w:val="20"/>
                <w:lang w:val="en-CA" w:eastAsia="en-CA"/>
              </w:rPr>
            </w:pPr>
          </w:p>
        </w:tc>
        <w:tc>
          <w:tcPr>
            <w:tcW w:w="1528" w:type="dxa"/>
            <w:tcBorders>
              <w:top w:val="nil"/>
              <w:left w:val="nil"/>
              <w:bottom w:val="single" w:sz="8"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1st-17th</w:t>
            </w:r>
          </w:p>
        </w:tc>
        <w:tc>
          <w:tcPr>
            <w:tcW w:w="2394" w:type="dxa"/>
            <w:tcBorders>
              <w:top w:val="nil"/>
              <w:left w:val="nil"/>
              <w:bottom w:val="single" w:sz="8" w:space="0" w:color="auto"/>
              <w:right w:val="single" w:sz="4"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Walking Works</w:t>
            </w:r>
          </w:p>
        </w:tc>
        <w:tc>
          <w:tcPr>
            <w:tcW w:w="1495" w:type="dxa"/>
            <w:tcBorders>
              <w:top w:val="nil"/>
              <w:left w:val="nil"/>
              <w:bottom w:val="single" w:sz="8" w:space="0" w:color="auto"/>
              <w:right w:val="single" w:sz="4" w:space="0" w:color="auto"/>
            </w:tcBorders>
            <w:shd w:val="clear" w:color="auto" w:fill="auto"/>
            <w:vAlign w:val="center"/>
            <w:hideMark/>
          </w:tcPr>
          <w:p w:rsidR="00B811D8" w:rsidRPr="003C7B5C" w:rsidRDefault="00B811D8" w:rsidP="00B811D8">
            <w:pPr>
              <w:spacing w:after="0" w:line="240" w:lineRule="auto"/>
              <w:jc w:val="center"/>
              <w:rPr>
                <w:rFonts w:ascii="Arial" w:eastAsia="Times New Roman" w:hAnsi="Arial" w:cs="Arial"/>
                <w:sz w:val="20"/>
                <w:szCs w:val="20"/>
                <w:lang w:val="en-CA" w:eastAsia="en-CA"/>
              </w:rPr>
            </w:pPr>
          </w:p>
        </w:tc>
        <w:tc>
          <w:tcPr>
            <w:tcW w:w="3391" w:type="dxa"/>
            <w:tcBorders>
              <w:top w:val="nil"/>
              <w:left w:val="nil"/>
              <w:bottom w:val="single" w:sz="8" w:space="0" w:color="auto"/>
              <w:right w:val="single" w:sz="8" w:space="0" w:color="auto"/>
            </w:tcBorders>
            <w:shd w:val="clear" w:color="auto" w:fill="auto"/>
            <w:vAlign w:val="center"/>
            <w:hideMark/>
          </w:tcPr>
          <w:p w:rsidR="00B811D8" w:rsidRPr="003C7B5C" w:rsidRDefault="00B811D8" w:rsidP="00B811D8">
            <w:pPr>
              <w:spacing w:after="0" w:line="240" w:lineRule="auto"/>
              <w:rPr>
                <w:rFonts w:ascii="Arial" w:eastAsia="Times New Roman" w:hAnsi="Arial" w:cs="Arial"/>
                <w:sz w:val="20"/>
                <w:szCs w:val="20"/>
                <w:lang w:val="en-CA" w:eastAsia="en-CA"/>
              </w:rPr>
            </w:pPr>
            <w:r w:rsidRPr="003C7B5C">
              <w:rPr>
                <w:rFonts w:ascii="Arial" w:eastAsia="Times New Roman" w:hAnsi="Arial" w:cs="Arial"/>
                <w:sz w:val="20"/>
                <w:szCs w:val="20"/>
                <w:lang w:val="en-CA" w:eastAsia="en-CA"/>
              </w:rPr>
              <w:t>Walking challenge to encourage staff to get in as many steps as possible per day. Participant total: 303,000 steps or equivalent to walking to Kingston, Ontario. Draw prize winners: Suzan Fitzgibbons and Sue Douglas.</w:t>
            </w:r>
          </w:p>
        </w:tc>
      </w:tr>
    </w:tbl>
    <w:p w:rsidR="007233C5" w:rsidRPr="00E4344F" w:rsidRDefault="007233C5" w:rsidP="00507E1B">
      <w:pPr>
        <w:pStyle w:val="NoSpacing"/>
        <w:rPr>
          <w:rFonts w:ascii="Arial" w:hAnsi="Arial" w:cs="Arial"/>
          <w:b/>
          <w:sz w:val="24"/>
          <w:szCs w:val="24"/>
        </w:rPr>
      </w:pPr>
    </w:p>
    <w:p w:rsidR="007233C5" w:rsidRDefault="007233C5" w:rsidP="00507E1B">
      <w:pPr>
        <w:pStyle w:val="NoSpacing"/>
        <w:rPr>
          <w:rFonts w:ascii="Arial" w:hAnsi="Arial" w:cs="Arial"/>
          <w:b/>
          <w:sz w:val="24"/>
          <w:szCs w:val="24"/>
        </w:rPr>
      </w:pPr>
    </w:p>
    <w:p w:rsidR="007233C5" w:rsidRDefault="007233C5" w:rsidP="00507E1B">
      <w:pPr>
        <w:pStyle w:val="NoSpacing"/>
        <w:rPr>
          <w:rFonts w:ascii="Arial" w:hAnsi="Arial" w:cs="Arial"/>
          <w:b/>
          <w:sz w:val="24"/>
          <w:szCs w:val="24"/>
        </w:rPr>
      </w:pPr>
    </w:p>
    <w:p w:rsidR="007233C5" w:rsidRPr="00E4344F" w:rsidRDefault="007233C5" w:rsidP="00507E1B">
      <w:pPr>
        <w:pStyle w:val="NoSpacing"/>
        <w:rPr>
          <w:rFonts w:ascii="Arial" w:hAnsi="Arial" w:cs="Arial"/>
          <w:b/>
          <w:sz w:val="24"/>
          <w:szCs w:val="24"/>
        </w:rPr>
      </w:pPr>
      <w:r w:rsidRPr="00E4344F">
        <w:rPr>
          <w:rFonts w:ascii="Arial" w:hAnsi="Arial" w:cs="Arial"/>
          <w:b/>
          <w:sz w:val="24"/>
          <w:szCs w:val="24"/>
        </w:rPr>
        <w:t>Appendix B – Employee Wellness Solutions Network Toolbox</w:t>
      </w:r>
    </w:p>
    <w:p w:rsidR="007233C5" w:rsidRPr="00E4344F" w:rsidRDefault="007233C5" w:rsidP="009B551D">
      <w:pPr>
        <w:pStyle w:val="NoSpacing"/>
        <w:rPr>
          <w:rFonts w:ascii="Arial" w:hAnsi="Arial" w:cs="Arial"/>
        </w:rPr>
      </w:pPr>
    </w:p>
    <w:p w:rsidR="007233C5" w:rsidRPr="00CB6154" w:rsidRDefault="007233C5" w:rsidP="00AC08D7">
      <w:pPr>
        <w:rPr>
          <w:rFonts w:ascii="Arial" w:hAnsi="Arial" w:cs="Arial"/>
          <w:b/>
          <w:color w:val="000000"/>
          <w:sz w:val="24"/>
          <w:szCs w:val="24"/>
          <w:u w:val="single"/>
        </w:rPr>
      </w:pPr>
      <w:r w:rsidRPr="00CB6154">
        <w:rPr>
          <w:rFonts w:ascii="Arial" w:hAnsi="Arial" w:cs="Arial"/>
          <w:b/>
          <w:color w:val="000000"/>
          <w:sz w:val="24"/>
          <w:szCs w:val="24"/>
          <w:u w:val="single"/>
        </w:rPr>
        <w:t>Individual Programming</w:t>
      </w:r>
    </w:p>
    <w:p w:rsidR="007233C5" w:rsidRPr="00CB6154" w:rsidRDefault="007233C5" w:rsidP="00737848">
      <w:pPr>
        <w:numPr>
          <w:ilvl w:val="0"/>
          <w:numId w:val="18"/>
        </w:numPr>
        <w:tabs>
          <w:tab w:val="clear" w:pos="1440"/>
          <w:tab w:val="num" w:pos="540"/>
        </w:tabs>
        <w:spacing w:after="0" w:line="240" w:lineRule="auto"/>
        <w:ind w:left="540" w:right="-29" w:hanging="540"/>
        <w:rPr>
          <w:rFonts w:ascii="Arial" w:hAnsi="Arial" w:cs="Arial"/>
          <w:color w:val="000000"/>
          <w:sz w:val="24"/>
          <w:szCs w:val="24"/>
        </w:rPr>
      </w:pPr>
      <w:r w:rsidRPr="00CB6154">
        <w:rPr>
          <w:rFonts w:ascii="Arial" w:hAnsi="Arial" w:cs="Arial"/>
          <w:color w:val="000000"/>
          <w:sz w:val="24"/>
          <w:szCs w:val="24"/>
        </w:rPr>
        <w:t xml:space="preserve">The individual programming conducted by Employee Wellness Solutions Network is the foundation for a successful wellness program. Our unique system provides accountability, follow up and evaluation to positively impact healthy lifestyle habits. Through this custom approach to engaging the employees, behaviours are modified which also affects family health. </w:t>
      </w:r>
    </w:p>
    <w:p w:rsidR="007233C5" w:rsidRPr="00CB6154" w:rsidRDefault="007233C5" w:rsidP="00737848">
      <w:pPr>
        <w:numPr>
          <w:ilvl w:val="0"/>
          <w:numId w:val="18"/>
        </w:numPr>
        <w:tabs>
          <w:tab w:val="clear" w:pos="1440"/>
          <w:tab w:val="num" w:pos="540"/>
        </w:tabs>
        <w:spacing w:before="100" w:beforeAutospacing="1" w:after="100" w:afterAutospacing="1" w:line="245" w:lineRule="atLeast"/>
        <w:ind w:left="540" w:right="-29" w:hanging="540"/>
        <w:rPr>
          <w:rFonts w:ascii="Arial" w:hAnsi="Arial" w:cs="Arial"/>
          <w:color w:val="000000"/>
          <w:sz w:val="24"/>
          <w:szCs w:val="24"/>
        </w:rPr>
      </w:pPr>
      <w:r w:rsidRPr="00CB6154">
        <w:rPr>
          <w:rFonts w:ascii="Arial" w:hAnsi="Arial" w:cs="Arial"/>
          <w:color w:val="000000"/>
          <w:sz w:val="24"/>
          <w:szCs w:val="24"/>
        </w:rPr>
        <w:t>Be it meal planning ideas, recipes, exercise prescription, diabetes information, cholesterol and blood pressure information, quitting smoking, weight loss, stress management, allergies, back health and any other wellness-related topic, our wellness consultants discuss overall lifestyle behaviours with the employees and provide on-going support to gradually see improvements in personal health.</w:t>
      </w:r>
    </w:p>
    <w:p w:rsidR="007233C5" w:rsidRPr="00CB6154" w:rsidRDefault="007233C5" w:rsidP="00737848">
      <w:pPr>
        <w:numPr>
          <w:ilvl w:val="0"/>
          <w:numId w:val="18"/>
        </w:numPr>
        <w:tabs>
          <w:tab w:val="clear" w:pos="1440"/>
          <w:tab w:val="num" w:pos="540"/>
        </w:tabs>
        <w:spacing w:before="100" w:beforeAutospacing="1" w:after="100" w:afterAutospacing="1" w:line="245" w:lineRule="atLeast"/>
        <w:ind w:left="540" w:right="-29" w:hanging="540"/>
        <w:rPr>
          <w:rFonts w:ascii="Arial" w:hAnsi="Arial" w:cs="Arial"/>
          <w:color w:val="000000"/>
          <w:sz w:val="24"/>
          <w:szCs w:val="24"/>
        </w:rPr>
      </w:pPr>
      <w:r w:rsidRPr="00CB6154">
        <w:rPr>
          <w:rFonts w:ascii="Arial" w:hAnsi="Arial" w:cs="Arial"/>
          <w:color w:val="000000"/>
          <w:sz w:val="24"/>
          <w:szCs w:val="24"/>
        </w:rPr>
        <w:t>Confidentiality is of utmost importance for EWSNetwork. Along with our corporate privacy policy, employees are very comfortable in establishing a working relationship with our certified wellness consultants as anything discussed in the consultation is kept confidential and private. EWSNetwork prides itself with this assurance.</w:t>
      </w:r>
    </w:p>
    <w:p w:rsidR="007233C5" w:rsidRPr="00CB6154" w:rsidRDefault="007233C5" w:rsidP="00AC08D7">
      <w:pPr>
        <w:rPr>
          <w:rFonts w:ascii="Arial" w:hAnsi="Arial" w:cs="Arial"/>
          <w:color w:val="000000"/>
          <w:sz w:val="24"/>
          <w:szCs w:val="24"/>
        </w:rPr>
      </w:pPr>
    </w:p>
    <w:p w:rsidR="007233C5" w:rsidRPr="00CB6154" w:rsidRDefault="007233C5" w:rsidP="00AC08D7">
      <w:pPr>
        <w:rPr>
          <w:rFonts w:ascii="Arial" w:hAnsi="Arial" w:cs="Arial"/>
          <w:color w:val="000000"/>
          <w:sz w:val="24"/>
          <w:szCs w:val="24"/>
        </w:rPr>
      </w:pPr>
      <w:bookmarkStart w:id="0" w:name="_GoBack"/>
      <w:bookmarkEnd w:id="0"/>
      <w:r w:rsidRPr="00CB6154">
        <w:rPr>
          <w:rFonts w:ascii="Arial" w:hAnsi="Arial" w:cs="Arial"/>
          <w:b/>
          <w:color w:val="000000"/>
          <w:sz w:val="24"/>
          <w:szCs w:val="24"/>
        </w:rPr>
        <w:lastRenderedPageBreak/>
        <w:t>EWSNetwork On-site Wellness Consulting</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Wellness consulting is unique to Employee Wellness Solutions Network. </w:t>
      </w:r>
      <w:r w:rsidRPr="00CB6154">
        <w:rPr>
          <w:rFonts w:ascii="Arial" w:hAnsi="Arial" w:cs="Arial"/>
          <w:vanish/>
          <w:color w:val="000000"/>
          <w:sz w:val="24"/>
          <w:szCs w:val="24"/>
        </w:rPr>
        <w:t> </w:t>
      </w:r>
      <w:r w:rsidRPr="00CB6154">
        <w:rPr>
          <w:rFonts w:ascii="Arial" w:hAnsi="Arial" w:cs="Arial"/>
          <w:color w:val="000000"/>
          <w:sz w:val="24"/>
          <w:szCs w:val="24"/>
        </w:rPr>
        <w:t xml:space="preserve">Participants are encouraged to meet with one of the on-site wellness coaches/consultants to discuss improving or modifying lifestyle behaviors in a closed-door environment. The sessions are 30 minutes in length and are, of course, voluntary.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Topics relating to the individual and improving his/her health is the main focus in these sessions. Topics may range from nutrition, exercise, prevention, disease, stress management, sleep improvement and much more. By working with our wellness consultants, and establishing a trusting relationship, it has been shown that healthy lifestyle behaviours are the result.</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“Helping one individual leads to change in his/her family and workplace!”</w:t>
      </w:r>
    </w:p>
    <w:p w:rsidR="007233C5" w:rsidRPr="00CB6154" w:rsidRDefault="007233C5" w:rsidP="00AC08D7">
      <w:pPr>
        <w:spacing w:line="245" w:lineRule="atLeast"/>
        <w:rPr>
          <w:rFonts w:ascii="Arial" w:hAnsi="Arial" w:cs="Arial"/>
          <w:b/>
          <w:color w:val="000000"/>
          <w:sz w:val="24"/>
          <w:szCs w:val="24"/>
        </w:rPr>
      </w:pPr>
      <w:r w:rsidRPr="00CB6154">
        <w:rPr>
          <w:rFonts w:ascii="Arial" w:hAnsi="Arial" w:cs="Arial"/>
          <w:color w:val="000000"/>
          <w:sz w:val="24"/>
          <w:szCs w:val="24"/>
        </w:rPr>
        <w:t> </w:t>
      </w:r>
    </w:p>
    <w:p w:rsidR="007233C5" w:rsidRPr="00CB6154" w:rsidRDefault="007233C5" w:rsidP="00AC08D7">
      <w:pPr>
        <w:spacing w:line="245" w:lineRule="atLeast"/>
        <w:rPr>
          <w:rFonts w:ascii="Arial" w:hAnsi="Arial" w:cs="Arial"/>
          <w:b/>
          <w:color w:val="000000"/>
          <w:sz w:val="24"/>
          <w:szCs w:val="24"/>
        </w:rPr>
      </w:pPr>
      <w:r w:rsidRPr="00CB6154">
        <w:rPr>
          <w:rFonts w:ascii="Arial" w:hAnsi="Arial" w:cs="Arial"/>
          <w:b/>
          <w:color w:val="000000"/>
          <w:sz w:val="24"/>
          <w:szCs w:val="24"/>
        </w:rPr>
        <w:t>EWSNetwork Virtual or Phone Consultations</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For organizations with off-site employees or satellite offices, our wellness consultants can perform individual wellness consultations virtually or over the phone. The same quality of service is evident with these types of consultations. Accountability, follow up and evaluation are paramount with this delivery of service. </w:t>
      </w:r>
    </w:p>
    <w:p w:rsidR="007233C5" w:rsidRPr="00CB6154" w:rsidRDefault="007233C5" w:rsidP="00AC08D7">
      <w:pPr>
        <w:spacing w:line="245" w:lineRule="atLeast"/>
        <w:rPr>
          <w:rFonts w:ascii="Arial" w:hAnsi="Arial" w:cs="Arial"/>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bCs/>
          <w:color w:val="000000"/>
          <w:sz w:val="24"/>
          <w:szCs w:val="24"/>
        </w:rPr>
        <w:t>EWSNetwork Personal Wellness Profile [PWP] (Health Risk Assessment)</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The EWSNetwork Personal Wellness Profile is a voluntary, confidential, on-line health assessment tool that measures health risk. Individuals are encouraged to complete this assessment on an annual basis. Wellness scores are determined from the risks and comparative results are presented year to year.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The PWP provides individuals with heightened awareness concerning personal health. From the results of the personal profiles, participants receive a personalized report outlining the main health risks with recommendations for improvement. It is recommended that participants bring their reports to the wellness consultant for review and guidance. </w:t>
      </w:r>
    </w:p>
    <w:p w:rsidR="007233C5" w:rsidRPr="00CB6154" w:rsidRDefault="007233C5" w:rsidP="00AC08D7">
      <w:pPr>
        <w:spacing w:line="245" w:lineRule="atLeast"/>
        <w:rPr>
          <w:rFonts w:ascii="Arial" w:hAnsi="Arial" w:cs="Arial"/>
          <w:color w:val="000000"/>
          <w:sz w:val="24"/>
          <w:szCs w:val="24"/>
        </w:rPr>
      </w:pPr>
    </w:p>
    <w:p w:rsidR="007233C5" w:rsidRPr="00CB6154" w:rsidRDefault="007233C5" w:rsidP="00AC08D7">
      <w:pPr>
        <w:spacing w:line="245" w:lineRule="atLeast"/>
        <w:rPr>
          <w:rFonts w:ascii="Arial" w:hAnsi="Arial" w:cs="Arial"/>
          <w:b/>
          <w:color w:val="000000"/>
          <w:sz w:val="24"/>
          <w:szCs w:val="24"/>
          <w:u w:val="single"/>
        </w:rPr>
      </w:pPr>
      <w:r w:rsidRPr="00CB6154">
        <w:rPr>
          <w:rFonts w:ascii="Arial" w:hAnsi="Arial" w:cs="Arial"/>
          <w:b/>
          <w:color w:val="000000"/>
          <w:sz w:val="24"/>
          <w:szCs w:val="24"/>
          <w:u w:val="single"/>
        </w:rPr>
        <w:t>Group Programming</w:t>
      </w:r>
    </w:p>
    <w:p w:rsidR="007233C5" w:rsidRPr="00CB6154" w:rsidRDefault="007233C5" w:rsidP="00AC08D7">
      <w:pPr>
        <w:numPr>
          <w:ilvl w:val="0"/>
          <w:numId w:val="17"/>
        </w:numPr>
        <w:tabs>
          <w:tab w:val="clear" w:pos="1440"/>
          <w:tab w:val="num" w:pos="600"/>
        </w:tabs>
        <w:spacing w:after="0" w:line="245" w:lineRule="atLeast"/>
        <w:ind w:left="600" w:right="-29" w:hanging="480"/>
        <w:rPr>
          <w:rFonts w:ascii="Arial" w:hAnsi="Arial" w:cs="Arial"/>
          <w:color w:val="000000"/>
          <w:sz w:val="24"/>
          <w:szCs w:val="24"/>
        </w:rPr>
      </w:pPr>
      <w:r w:rsidRPr="00CB6154">
        <w:rPr>
          <w:rFonts w:ascii="Arial" w:hAnsi="Arial" w:cs="Arial"/>
          <w:color w:val="000000"/>
          <w:sz w:val="24"/>
          <w:szCs w:val="24"/>
        </w:rPr>
        <w:t xml:space="preserve">The group programs conducted by Employee Wellness Solutions Network include all lunch n’ learns, workshops, and exercise classes on-site or around the premises. Including this component within a wellness program adds tremendous value. Any group program that leaves the participants with valuable information, contributes to a change in workplace culture. This component has been shown to boost organizational morale and energy. </w:t>
      </w:r>
    </w:p>
    <w:p w:rsidR="007233C5" w:rsidRPr="00CB6154" w:rsidRDefault="007233C5" w:rsidP="00AC08D7">
      <w:pPr>
        <w:numPr>
          <w:ilvl w:val="0"/>
          <w:numId w:val="17"/>
        </w:numPr>
        <w:tabs>
          <w:tab w:val="clear" w:pos="1440"/>
          <w:tab w:val="num" w:pos="600"/>
        </w:tabs>
        <w:spacing w:after="0" w:line="245" w:lineRule="atLeast"/>
        <w:ind w:left="600" w:right="-29" w:hanging="480"/>
        <w:rPr>
          <w:rFonts w:ascii="Arial" w:hAnsi="Arial" w:cs="Arial"/>
          <w:color w:val="000000"/>
          <w:sz w:val="24"/>
          <w:szCs w:val="24"/>
        </w:rPr>
      </w:pPr>
      <w:r w:rsidRPr="00CB6154">
        <w:rPr>
          <w:rFonts w:ascii="Arial" w:hAnsi="Arial" w:cs="Arial"/>
          <w:color w:val="000000"/>
          <w:sz w:val="24"/>
          <w:szCs w:val="24"/>
        </w:rPr>
        <w:t xml:space="preserve">Facilitators for the group programs may include the wellness consultants, members of the management team, or our extensive strategic affiliates in the cities we service.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lastRenderedPageBreak/>
        <w:t xml:space="preserve">EWSNetwork Group Exercise Classes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The EWSNetwork group exercise classes provide participants the opportunity to engage in energy-boosting activity during the workday. Some classes require more space than others, while others are held outside or in boardrooms. Some classes may include: yoga, pilates, kickboxing, tai chi, Get Fit Alliance, Learn to Run, Walk/Run groups to name a few.</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 Encouraging activity throughout the day is an important component to improving productivity and energy. </w:t>
      </w:r>
    </w:p>
    <w:p w:rsidR="00B811D8" w:rsidRDefault="00B811D8" w:rsidP="00AC08D7">
      <w:pPr>
        <w:spacing w:line="245" w:lineRule="atLeast"/>
        <w:rPr>
          <w:rFonts w:ascii="Arial" w:hAnsi="Arial" w:cs="Arial"/>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 xml:space="preserve">EWSNetwork On-Site Lunch n’ Learns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The EWSNetwork lunch n’ learn programs take into account the needs and interests of each organization. EWSNetwork and its strategic network of wellness professionals educate employee groups and organizations on various topics of personal health, worksite dynamics, familial health, financial health, ergonomics, and other wellness topics conducive to the population.</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Topics are chosen relating to PWP results, wellness committee feedback, and employee interest. These group sessions encourage a healthy workplace culture, boost morale, may improve overall productivity, and provide a forum for discussion and idea sharing.</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 xml:space="preserve">EWSNetwork On-Site Workshops </w:t>
      </w:r>
      <w:r w:rsidRPr="00CB6154">
        <w:rPr>
          <w:rFonts w:ascii="Arial" w:hAnsi="Arial" w:cs="Arial"/>
          <w:color w:val="000000"/>
          <w:sz w:val="24"/>
          <w:szCs w:val="24"/>
        </w:rPr>
        <w:t xml:space="preserve">(4, 6 or 8 weeks)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The EWSNetwork Workshops are unique. They are facilitated over a number of weeks. Each week, a group session is delivered with follow up individual accountability tasks for the next week/session. Some of the workshops include </w:t>
      </w:r>
      <w:r w:rsidRPr="00CB6154">
        <w:rPr>
          <w:rFonts w:ascii="Arial" w:hAnsi="Arial" w:cs="Arial"/>
          <w:vanish/>
          <w:color w:val="000000"/>
          <w:sz w:val="24"/>
          <w:szCs w:val="24"/>
        </w:rPr>
        <w:t> </w:t>
      </w:r>
      <w:r w:rsidRPr="00CB6154">
        <w:rPr>
          <w:rFonts w:ascii="Arial" w:hAnsi="Arial" w:cs="Arial"/>
          <w:color w:val="000000"/>
          <w:sz w:val="24"/>
          <w:szCs w:val="24"/>
        </w:rPr>
        <w:t>Work-Life Balance, Extreme Lifestyle Makeover, Easy Nutrition for Life, Healthy Hearts, Waist Watchers, Empowered Living Program, or Healthy Weights to name a few.</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Consecutive group sessions allow for continuity of participants, sharing of ideas, supportive environments, overall morale boosting and culture shifting in the organization.</w:t>
      </w:r>
    </w:p>
    <w:p w:rsidR="007233C5" w:rsidRPr="00CB6154" w:rsidRDefault="007233C5" w:rsidP="00AC08D7">
      <w:pPr>
        <w:spacing w:line="245" w:lineRule="atLeast"/>
        <w:rPr>
          <w:rFonts w:ascii="Arial" w:hAnsi="Arial" w:cs="Arial"/>
          <w:color w:val="000000"/>
          <w:sz w:val="24"/>
          <w:szCs w:val="24"/>
        </w:rPr>
      </w:pPr>
    </w:p>
    <w:p w:rsidR="007233C5" w:rsidRPr="00CB6154" w:rsidRDefault="007233C5" w:rsidP="00AC08D7">
      <w:pPr>
        <w:spacing w:line="245" w:lineRule="atLeast"/>
        <w:rPr>
          <w:rFonts w:ascii="Arial" w:hAnsi="Arial" w:cs="Arial"/>
          <w:b/>
          <w:color w:val="000000"/>
          <w:sz w:val="24"/>
          <w:szCs w:val="24"/>
        </w:rPr>
      </w:pPr>
      <w:r w:rsidRPr="00CB6154">
        <w:rPr>
          <w:rFonts w:ascii="Arial" w:hAnsi="Arial" w:cs="Arial"/>
          <w:b/>
          <w:color w:val="000000"/>
          <w:sz w:val="24"/>
          <w:szCs w:val="24"/>
        </w:rPr>
        <w:t>EWSNetwork Virtual Lunch n’ Learns and Workshops</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For an organization with employees off-site or in satellite offices, conducting virtual Lunch n’ Learns, wellness sessions, or workshops has proven to be very effective. Interactive webinars, conference video, or conference calls are all options to engage participants who can’t attend these sessions in person.</w:t>
      </w:r>
    </w:p>
    <w:p w:rsidR="007233C5" w:rsidRPr="00CB6154" w:rsidRDefault="007233C5" w:rsidP="00AC08D7">
      <w:pPr>
        <w:spacing w:line="245" w:lineRule="atLeast"/>
        <w:rPr>
          <w:rFonts w:ascii="Arial" w:hAnsi="Arial" w:cs="Arial"/>
          <w:color w:val="000000"/>
          <w:sz w:val="24"/>
          <w:szCs w:val="24"/>
        </w:rPr>
      </w:pPr>
    </w:p>
    <w:p w:rsidR="00B811D8" w:rsidRDefault="00B811D8" w:rsidP="00AC08D7">
      <w:pPr>
        <w:spacing w:line="245" w:lineRule="atLeast"/>
        <w:rPr>
          <w:rFonts w:ascii="Arial" w:hAnsi="Arial" w:cs="Arial"/>
          <w:b/>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lastRenderedPageBreak/>
        <w:t>EWSNetwork “Step into the Season” Campaign</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The EWSNetwork “Step into the Season” campaigns are walking promotions. Step into Spring, Step into Summer or Step into September offer customized walking routes, pedometer challenges, email campaigns, and accountability tools that help organizations get moving. Group walking groups may also be facilitated during these campaigns.</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Staff/Wellness Days</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The EWSNetwork staff/wellness day is designed with the needs and interests of the organization in mind. It usually involves speaking with a planning committee to determine what events will be most impactful. A Staff/Wellness Day may incorporate team building, problem solving, empowering relationships, personality learning, human behavior understanding, positive interaction in the workplace, or just FUN!  An example of one of the Staff/Wellness Day options is related to the DISC Model presentation.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From the management level to the front line staff, understanding human behaviour and relationships is absolutely imperative for an organization to be successful. The DISC model allows staff to learn how to interact more effectively. This not only is true in the workplace, but understanding clients more effectively is also an objective following this training. </w:t>
      </w:r>
      <w:r w:rsidRPr="00CB6154">
        <w:rPr>
          <w:rFonts w:ascii="Arial" w:hAnsi="Arial" w:cs="Arial"/>
          <w:i/>
          <w:color w:val="000000"/>
          <w:sz w:val="24"/>
          <w:szCs w:val="24"/>
        </w:rPr>
        <w:t>“If I understand you and you understand me, doesn’t it make sense that we can have a better relationship?” Dr. Rohm, Personality Insights</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Some physical and team building programs may include the EWSNetwork Amazing Pace or the EWSNetwork Amazing Hunt lending interaction and fun among staff. The Amazing Pace…and Hunt combines a 5-station team building race that includes physical, emotional and nutritional awareness and a unique Scavenger Hunt. Following the DISC workshop, teams better communicate, strategize, and work together in achieving common goal in the race.</w:t>
      </w:r>
    </w:p>
    <w:p w:rsidR="007233C5" w:rsidRPr="00CB6154" w:rsidRDefault="007233C5" w:rsidP="00AC08D7">
      <w:pPr>
        <w:spacing w:line="245" w:lineRule="atLeast"/>
        <w:rPr>
          <w:rFonts w:ascii="Arial" w:hAnsi="Arial" w:cs="Arial"/>
          <w:b/>
          <w:bCs/>
          <w:color w:val="000000"/>
          <w:sz w:val="24"/>
          <w:szCs w:val="24"/>
        </w:rPr>
      </w:pPr>
      <w:r w:rsidRPr="00CB6154">
        <w:rPr>
          <w:rFonts w:ascii="Arial" w:hAnsi="Arial" w:cs="Arial"/>
          <w:b/>
          <w:bCs/>
          <w:color w:val="000000"/>
          <w:sz w:val="24"/>
          <w:szCs w:val="24"/>
        </w:rPr>
        <w:t>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bCs/>
          <w:color w:val="000000"/>
          <w:sz w:val="24"/>
          <w:szCs w:val="24"/>
        </w:rPr>
        <w:t>EWSNetwork Facility Design &amp; Management</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EWSNetwork works with the organization in designing a facility that is conducive to the population. Facility operations and programs within the confines of the workplace are also managed by EWSNetwork. Gym equipment orientations may also be facilitated to ensure safety and personalized programming.</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 An on-site exercise facility has shown to support retention and attraction of staff. It also boosts morale, the corporate culture, and overall productivity. </w:t>
      </w:r>
    </w:p>
    <w:p w:rsidR="007233C5" w:rsidRPr="00CB6154" w:rsidRDefault="007233C5" w:rsidP="00AC08D7">
      <w:pPr>
        <w:spacing w:line="245" w:lineRule="atLeast"/>
        <w:rPr>
          <w:rFonts w:ascii="Arial" w:hAnsi="Arial" w:cs="Arial"/>
          <w:b/>
          <w:color w:val="000000"/>
          <w:sz w:val="24"/>
          <w:szCs w:val="24"/>
          <w:u w:val="single"/>
        </w:rPr>
      </w:pPr>
      <w:r w:rsidRPr="00CB6154">
        <w:rPr>
          <w:rFonts w:ascii="Arial" w:hAnsi="Arial" w:cs="Arial"/>
          <w:color w:val="000000"/>
          <w:sz w:val="24"/>
          <w:szCs w:val="24"/>
        </w:rPr>
        <w:t> </w:t>
      </w:r>
    </w:p>
    <w:p w:rsidR="00B811D8" w:rsidRDefault="00B811D8" w:rsidP="00AC08D7">
      <w:pPr>
        <w:spacing w:line="245" w:lineRule="atLeast"/>
        <w:rPr>
          <w:rFonts w:ascii="Arial" w:hAnsi="Arial" w:cs="Arial"/>
          <w:b/>
          <w:color w:val="000000"/>
          <w:sz w:val="24"/>
          <w:szCs w:val="24"/>
          <w:u w:val="single"/>
        </w:rPr>
      </w:pPr>
    </w:p>
    <w:p w:rsidR="00B811D8" w:rsidRDefault="00B811D8" w:rsidP="00AC08D7">
      <w:pPr>
        <w:spacing w:line="245" w:lineRule="atLeast"/>
        <w:rPr>
          <w:rFonts w:ascii="Arial" w:hAnsi="Arial" w:cs="Arial"/>
          <w:b/>
          <w:color w:val="000000"/>
          <w:sz w:val="24"/>
          <w:szCs w:val="24"/>
          <w:u w:val="single"/>
        </w:rPr>
      </w:pPr>
    </w:p>
    <w:p w:rsidR="00B811D8" w:rsidRDefault="00B811D8" w:rsidP="00AC08D7">
      <w:pPr>
        <w:spacing w:line="245" w:lineRule="atLeast"/>
        <w:rPr>
          <w:rFonts w:ascii="Arial" w:hAnsi="Arial" w:cs="Arial"/>
          <w:b/>
          <w:color w:val="000000"/>
          <w:sz w:val="24"/>
          <w:szCs w:val="24"/>
          <w:u w:val="single"/>
        </w:rPr>
      </w:pPr>
    </w:p>
    <w:p w:rsidR="007233C5" w:rsidRPr="00CB6154" w:rsidRDefault="007233C5" w:rsidP="00AC08D7">
      <w:pPr>
        <w:spacing w:line="245" w:lineRule="atLeast"/>
        <w:rPr>
          <w:rFonts w:ascii="Arial" w:hAnsi="Arial" w:cs="Arial"/>
          <w:b/>
          <w:color w:val="000000"/>
          <w:sz w:val="24"/>
          <w:szCs w:val="24"/>
          <w:u w:val="single"/>
        </w:rPr>
      </w:pPr>
      <w:r w:rsidRPr="00CB6154">
        <w:rPr>
          <w:rFonts w:ascii="Arial" w:hAnsi="Arial" w:cs="Arial"/>
          <w:b/>
          <w:color w:val="000000"/>
          <w:sz w:val="24"/>
          <w:szCs w:val="24"/>
          <w:u w:val="single"/>
        </w:rPr>
        <w:lastRenderedPageBreak/>
        <w:t>Awareness Programming</w:t>
      </w:r>
    </w:p>
    <w:p w:rsidR="007233C5" w:rsidRPr="00CB6154" w:rsidRDefault="007233C5" w:rsidP="00AC08D7">
      <w:pPr>
        <w:numPr>
          <w:ilvl w:val="0"/>
          <w:numId w:val="19"/>
        </w:numPr>
        <w:tabs>
          <w:tab w:val="clear" w:pos="1440"/>
          <w:tab w:val="num" w:pos="720"/>
        </w:tabs>
        <w:spacing w:after="0" w:line="245" w:lineRule="atLeast"/>
        <w:ind w:left="720" w:right="-29" w:hanging="720"/>
        <w:rPr>
          <w:rFonts w:ascii="Arial" w:hAnsi="Arial" w:cs="Arial"/>
          <w:color w:val="000000"/>
          <w:sz w:val="24"/>
          <w:szCs w:val="24"/>
        </w:rPr>
      </w:pPr>
      <w:r w:rsidRPr="00CB6154">
        <w:rPr>
          <w:rFonts w:ascii="Arial" w:hAnsi="Arial" w:cs="Arial"/>
          <w:color w:val="000000"/>
          <w:sz w:val="24"/>
          <w:szCs w:val="24"/>
        </w:rPr>
        <w:t>The awareness programs conducted by Employee Wellness Solutions Network are critical for a successful wellness program. Touching on the learning styles of individuals, this component to the program lends information in different ways – virtually, kiosk, health fair, bulletin boards, posters, health questionnaires, wellness challenges, awareness campaigns, and newsletters.</w:t>
      </w:r>
    </w:p>
    <w:p w:rsidR="007233C5" w:rsidRPr="00CB6154" w:rsidRDefault="007233C5" w:rsidP="00AC08D7">
      <w:pPr>
        <w:numPr>
          <w:ilvl w:val="0"/>
          <w:numId w:val="19"/>
        </w:numPr>
        <w:tabs>
          <w:tab w:val="clear" w:pos="1440"/>
          <w:tab w:val="num" w:pos="720"/>
        </w:tabs>
        <w:spacing w:after="0" w:line="245" w:lineRule="atLeast"/>
        <w:ind w:left="720" w:right="-29" w:hanging="720"/>
        <w:rPr>
          <w:rFonts w:ascii="Arial" w:hAnsi="Arial" w:cs="Arial"/>
          <w:color w:val="000000"/>
          <w:sz w:val="24"/>
          <w:szCs w:val="24"/>
        </w:rPr>
      </w:pPr>
      <w:r w:rsidRPr="00CB6154">
        <w:rPr>
          <w:rFonts w:ascii="Arial" w:hAnsi="Arial" w:cs="Arial"/>
          <w:color w:val="000000"/>
          <w:sz w:val="24"/>
          <w:szCs w:val="24"/>
        </w:rPr>
        <w:t>Exposing someone to information pertaining to wellness in one of the above ways might be the first step in assessing one’s health which ultimately leads to further engagement within the wellness program. With the ongoing information, literature and emails supporting health promotion, familial health is also of benefit.</w:t>
      </w:r>
    </w:p>
    <w:p w:rsidR="007233C5" w:rsidRPr="00CB6154" w:rsidRDefault="007233C5" w:rsidP="00AC08D7">
      <w:pPr>
        <w:spacing w:line="245" w:lineRule="atLeast"/>
        <w:rPr>
          <w:rFonts w:ascii="Arial" w:hAnsi="Arial" w:cs="Arial"/>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Corporate Wellness Profile</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The EWSNetwork Corporate Wellness Profile is presented to management following analysis of the health data from the individuals who complete the Personal Wellness Profile. </w:t>
      </w:r>
      <w:r w:rsidRPr="00CB6154">
        <w:rPr>
          <w:rFonts w:ascii="Arial" w:hAnsi="Arial" w:cs="Arial"/>
          <w:i/>
          <w:color w:val="000000"/>
          <w:sz w:val="24"/>
          <w:szCs w:val="24"/>
        </w:rPr>
        <w:t xml:space="preserve">The Personal Wellness Profile [PWP] is a confidential, on-line health assessment tool that measures health risk. </w:t>
      </w:r>
      <w:r w:rsidRPr="00CB6154">
        <w:rPr>
          <w:rFonts w:ascii="Arial" w:hAnsi="Arial" w:cs="Arial"/>
          <w:color w:val="000000"/>
          <w:sz w:val="24"/>
          <w:szCs w:val="24"/>
        </w:rPr>
        <w:t>From the results of the participants’ profiles, baseline health risks are set and group and aggregate trends are presented. Executive summaries, corporate reports, and economic reports are prepared and submitted to management on an annual basis.</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Wellness program design is customized to address the needs and interests of the organization as per the profile results.</w:t>
      </w:r>
    </w:p>
    <w:p w:rsidR="007233C5" w:rsidRPr="00CB6154" w:rsidRDefault="007233C5" w:rsidP="00AC08D7">
      <w:pPr>
        <w:spacing w:line="245" w:lineRule="atLeast"/>
        <w:rPr>
          <w:rFonts w:ascii="Arial" w:hAnsi="Arial" w:cs="Arial"/>
          <w:b/>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Awareness Campaigns</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The EWSNetwork Awareness Campaigns promote healthy living in various ways. Some campaigns may include the Personal Wellness Profile, Wellness BINGOs, Cut the Junk baskets, Intranet-based programs, Wellness Warrior, Wellness Wednesday, Pedometer Challenges and Health Fairs as well as many other customized campaigns. Some are incentive-based and others are information-based.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 Awareness campaigns share healthy lifestyle messages, themes, and promotion. Overall learning is enhanced with the innovative and creative ways information is delivered. </w:t>
      </w:r>
    </w:p>
    <w:p w:rsidR="007233C5" w:rsidRPr="00CB6154" w:rsidRDefault="007233C5" w:rsidP="00AC08D7">
      <w:pPr>
        <w:spacing w:line="245" w:lineRule="atLeast"/>
        <w:rPr>
          <w:rFonts w:ascii="Arial" w:hAnsi="Arial" w:cs="Arial"/>
          <w:b/>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Awareness Kiosks</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The EWSNetwork Awareness Kiosks are displayed in high-traffic areas at the workplace. The information is presented on a tri-fold and handouts are left to be taken. Some wellness kiosks may include Blood Pressure, Diabetes, Personal Wellness, Sun Safety, Beat the Bug, Smoking Cessation to name a few. Participants are encouraged to take some if the information left at the kiosk home to their families.</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Whether it’s reading, gathering some relevant information, or sharing the information with loved ones, participants gather a better sense of overall health and lifestyle.</w:t>
      </w:r>
    </w:p>
    <w:p w:rsidR="007233C5" w:rsidRPr="00CB6154" w:rsidRDefault="007233C5" w:rsidP="00AC08D7">
      <w:pPr>
        <w:spacing w:line="245" w:lineRule="atLeast"/>
        <w:rPr>
          <w:rFonts w:ascii="Arial" w:hAnsi="Arial" w:cs="Arial"/>
          <w:b/>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Awareness and Point-of-Decision Posters</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The EWSNetwork Awareness posters are large in size displaying information on a particular topic. These posters range from smoking cessation, to diabetes, to mental health and may correlate with a month’s theme. They share a wealth of information to the reader. Point-of-Decision posters are smaller in size and are often seen in high-traffic areas with an underlying message. Some may include, “Have you taken the stairs lately?” posted in the elevators or “Have you had your 8 glasses of water today?” posted by the water coolers.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Readers gather overall awareness. The underlying messages encourage thinking about positive lifestyle decisions, improvements, or changes.</w:t>
      </w:r>
    </w:p>
    <w:p w:rsidR="007233BD" w:rsidRPr="00CB6154" w:rsidRDefault="007233BD" w:rsidP="00AC08D7">
      <w:pPr>
        <w:spacing w:line="245" w:lineRule="atLeast"/>
        <w:rPr>
          <w:rFonts w:ascii="Arial" w:hAnsi="Arial" w:cs="Arial"/>
          <w:b/>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Email/Intranet Campaigns</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The EWSNetwork Email/Intranet Campaigns run over consecutive days or weeks. Emails are circulated (or posted on the intranet) displaying common themes. Some may include 12 Days to Christmas, Step into Summer, Age Defying and Disease Defense, and Beat the Bug to name a few.</w:t>
      </w:r>
    </w:p>
    <w:p w:rsidR="007233C5" w:rsidRPr="00CB6154" w:rsidRDefault="007233C5" w:rsidP="00AC08D7">
      <w:pPr>
        <w:spacing w:line="245" w:lineRule="atLeast"/>
        <w:rPr>
          <w:rFonts w:ascii="Arial" w:hAnsi="Arial" w:cs="Arial"/>
          <w:b/>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Newsletter</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 xml:space="preserve">The EWSNetwork newsletter is a monthly publication. It offers various articles suitable to the season or current global health topics. Monthly wellness challenges, “Ask the Doctor” and periodic additional bonus articles are also included with this free service. Personal health and familial health may also be affected. </w:t>
      </w:r>
    </w:p>
    <w:p w:rsidR="007233C5" w:rsidRPr="00CB6154" w:rsidRDefault="007233C5" w:rsidP="00AC08D7">
      <w:pPr>
        <w:spacing w:line="245" w:lineRule="atLeast"/>
        <w:rPr>
          <w:rFonts w:ascii="Arial" w:hAnsi="Arial" w:cs="Arial"/>
          <w:b/>
          <w:color w:val="000000"/>
          <w:sz w:val="24"/>
          <w:szCs w:val="24"/>
        </w:rPr>
      </w:pP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b/>
          <w:color w:val="000000"/>
          <w:sz w:val="24"/>
          <w:szCs w:val="24"/>
        </w:rPr>
        <w:t>EWSNetwork Online Resource Centre</w:t>
      </w:r>
      <w:r w:rsidRPr="00CB6154">
        <w:rPr>
          <w:rFonts w:ascii="Arial" w:hAnsi="Arial" w:cs="Arial"/>
          <w:color w:val="000000"/>
          <w:sz w:val="24"/>
          <w:szCs w:val="24"/>
        </w:rPr>
        <w:t xml:space="preserve"> </w:t>
      </w:r>
    </w:p>
    <w:p w:rsidR="007233C5" w:rsidRPr="00CB6154" w:rsidRDefault="007233C5" w:rsidP="00AC08D7">
      <w:pPr>
        <w:spacing w:line="245" w:lineRule="atLeast"/>
        <w:rPr>
          <w:rFonts w:ascii="Arial" w:hAnsi="Arial" w:cs="Arial"/>
          <w:color w:val="000000"/>
          <w:sz w:val="24"/>
          <w:szCs w:val="24"/>
        </w:rPr>
      </w:pPr>
      <w:r w:rsidRPr="00CB6154">
        <w:rPr>
          <w:rFonts w:ascii="Arial" w:hAnsi="Arial" w:cs="Arial"/>
          <w:color w:val="000000"/>
          <w:sz w:val="24"/>
          <w:szCs w:val="24"/>
        </w:rPr>
        <w:t>The EWSNetwork Online Resource Centre is free and is open to the public from the main website [www.EWSNetwork.com]. It gives an assortment of various wellness industry articles, archived EWSNetwork newsletters and webinars and also shares a library of wellness information through an additional resource portal.</w:t>
      </w:r>
    </w:p>
    <w:p w:rsidR="007233C5" w:rsidRPr="00CB6154" w:rsidRDefault="007233C5" w:rsidP="00F45394">
      <w:pPr>
        <w:spacing w:line="245" w:lineRule="atLeast"/>
        <w:rPr>
          <w:rFonts w:ascii="Arial" w:hAnsi="Arial" w:cs="Arial"/>
          <w:sz w:val="24"/>
          <w:szCs w:val="24"/>
        </w:rPr>
      </w:pPr>
      <w:r w:rsidRPr="00CB6154">
        <w:rPr>
          <w:rFonts w:ascii="Arial" w:hAnsi="Arial" w:cs="Arial"/>
          <w:sz w:val="24"/>
          <w:szCs w:val="24"/>
        </w:rPr>
        <w:t>The Resource Centre is free, allows 24 hours a day access, and is easy to navigate. Not only are employees using this extensive library, families are too.  </w:t>
      </w:r>
    </w:p>
    <w:p w:rsidR="007233C5" w:rsidRPr="00CB6154" w:rsidRDefault="007233C5">
      <w:pPr>
        <w:spacing w:line="245" w:lineRule="atLeast"/>
        <w:rPr>
          <w:rFonts w:ascii="Arial" w:hAnsi="Arial" w:cs="Arial"/>
          <w:sz w:val="24"/>
          <w:szCs w:val="24"/>
        </w:rPr>
      </w:pPr>
    </w:p>
    <w:sectPr w:rsidR="007233C5" w:rsidRPr="00CB6154" w:rsidSect="003B29AD">
      <w:footerReference w:type="even" r:id="rId15"/>
      <w:footerReference w:type="default" r:id="rId16"/>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D7" w:rsidRDefault="00FA58D7">
      <w:r>
        <w:separator/>
      </w:r>
    </w:p>
  </w:endnote>
  <w:endnote w:type="continuationSeparator" w:id="0">
    <w:p w:rsidR="00FA58D7" w:rsidRDefault="00FA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C5" w:rsidRDefault="007233C5" w:rsidP="00D663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33C5" w:rsidRDefault="007233C5" w:rsidP="00C22C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C5" w:rsidRDefault="007233C5" w:rsidP="00D663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E11">
      <w:rPr>
        <w:rStyle w:val="PageNumber"/>
      </w:rPr>
      <w:t>6</w:t>
    </w:r>
    <w:r>
      <w:rPr>
        <w:rStyle w:val="PageNumber"/>
      </w:rPr>
      <w:fldChar w:fldCharType="end"/>
    </w:r>
  </w:p>
  <w:p w:rsidR="007233C5" w:rsidRDefault="007233C5" w:rsidP="00C22C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D7" w:rsidRDefault="00FA58D7">
      <w:r>
        <w:separator/>
      </w:r>
    </w:p>
  </w:footnote>
  <w:footnote w:type="continuationSeparator" w:id="0">
    <w:p w:rsidR="00FA58D7" w:rsidRDefault="00FA5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95C"/>
    <w:multiLevelType w:val="hybridMultilevel"/>
    <w:tmpl w:val="28F47CB4"/>
    <w:lvl w:ilvl="0" w:tplc="A82649E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45271D"/>
    <w:multiLevelType w:val="hybridMultilevel"/>
    <w:tmpl w:val="76867050"/>
    <w:lvl w:ilvl="0" w:tplc="CB34023A">
      <w:start w:val="1"/>
      <w:numFmt w:val="bullet"/>
      <w:lvlText w:val=""/>
      <w:lvlJc w:val="left"/>
      <w:pPr>
        <w:tabs>
          <w:tab w:val="num" w:pos="5040"/>
        </w:tabs>
        <w:ind w:left="504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E6D0D20"/>
    <w:multiLevelType w:val="hybridMultilevel"/>
    <w:tmpl w:val="EB1AEBFE"/>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B8782F"/>
    <w:multiLevelType w:val="hybridMultilevel"/>
    <w:tmpl w:val="09206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886BB7"/>
    <w:multiLevelType w:val="hybridMultilevel"/>
    <w:tmpl w:val="18283C2C"/>
    <w:lvl w:ilvl="0" w:tplc="930CD6A4">
      <w:start w:val="1"/>
      <w:numFmt w:val="bullet"/>
      <w:lvlText w:val=""/>
      <w:lvlJc w:val="left"/>
      <w:pPr>
        <w:tabs>
          <w:tab w:val="num" w:pos="5760"/>
        </w:tabs>
        <w:ind w:left="5760" w:hanging="360"/>
      </w:pPr>
      <w:rPr>
        <w:rFonts w:ascii="Wingdings" w:hAnsi="Wingdings" w:hint="default"/>
        <w:b/>
        <w:i w:val="0"/>
        <w:color w:val="auto"/>
        <w:sz w:val="24"/>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5">
    <w:nsid w:val="1DF85A37"/>
    <w:multiLevelType w:val="hybridMultilevel"/>
    <w:tmpl w:val="526EE01E"/>
    <w:lvl w:ilvl="0" w:tplc="04090005">
      <w:start w:val="1"/>
      <w:numFmt w:val="bullet"/>
      <w:lvlText w:val=""/>
      <w:lvlJc w:val="left"/>
      <w:pPr>
        <w:tabs>
          <w:tab w:val="num" w:pos="1440"/>
        </w:tabs>
        <w:ind w:left="1440" w:hanging="360"/>
      </w:pPr>
      <w:rPr>
        <w:rFonts w:ascii="Wingdings" w:hAnsi="Wingdings"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6439EC"/>
    <w:multiLevelType w:val="hybridMultilevel"/>
    <w:tmpl w:val="AF049A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C82E32"/>
    <w:multiLevelType w:val="hybridMultilevel"/>
    <w:tmpl w:val="056C3908"/>
    <w:lvl w:ilvl="0" w:tplc="D66A2472">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0BB2BF3"/>
    <w:multiLevelType w:val="hybridMultilevel"/>
    <w:tmpl w:val="D964666C"/>
    <w:lvl w:ilvl="0" w:tplc="4A6A42E8">
      <w:start w:val="1"/>
      <w:numFmt w:val="decimal"/>
      <w:lvlText w:val="%1."/>
      <w:lvlJc w:val="left"/>
      <w:pPr>
        <w:tabs>
          <w:tab w:val="num" w:pos="720"/>
        </w:tabs>
        <w:ind w:left="720" w:hanging="360"/>
      </w:pPr>
      <w:rPr>
        <w:rFonts w:cs="Times New Roman" w:hint="default"/>
        <w:sz w:val="24"/>
      </w:rPr>
    </w:lvl>
    <w:lvl w:ilvl="1" w:tplc="3B884842">
      <w:start w:val="1"/>
      <w:numFmt w:val="decimal"/>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58313DC"/>
    <w:multiLevelType w:val="hybridMultilevel"/>
    <w:tmpl w:val="153290FC"/>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6D7C9F"/>
    <w:multiLevelType w:val="hybridMultilevel"/>
    <w:tmpl w:val="0E2621CE"/>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20092D"/>
    <w:multiLevelType w:val="hybridMultilevel"/>
    <w:tmpl w:val="8C9A742C"/>
    <w:lvl w:ilvl="0" w:tplc="D6E6E8F0">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3E84E41"/>
    <w:multiLevelType w:val="hybridMultilevel"/>
    <w:tmpl w:val="A800ACD2"/>
    <w:lvl w:ilvl="0" w:tplc="0E925EB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CF1219"/>
    <w:multiLevelType w:val="hybridMultilevel"/>
    <w:tmpl w:val="8C806CE2"/>
    <w:lvl w:ilvl="0" w:tplc="A82649E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5A52D32"/>
    <w:multiLevelType w:val="hybridMultilevel"/>
    <w:tmpl w:val="D5BAD28A"/>
    <w:lvl w:ilvl="0" w:tplc="04090005">
      <w:start w:val="1"/>
      <w:numFmt w:val="bullet"/>
      <w:lvlText w:val=""/>
      <w:lvlJc w:val="left"/>
      <w:pPr>
        <w:tabs>
          <w:tab w:val="num" w:pos="2160"/>
        </w:tabs>
        <w:ind w:left="2160" w:hanging="360"/>
      </w:pPr>
      <w:rPr>
        <w:rFonts w:ascii="Wingdings" w:hAnsi="Wingdings" w:hint="default"/>
        <w:color w:val="auto"/>
        <w:sz w:val="24"/>
      </w:rPr>
    </w:lvl>
    <w:lvl w:ilvl="1" w:tplc="930CD6A4">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2E38A6"/>
    <w:multiLevelType w:val="hybridMultilevel"/>
    <w:tmpl w:val="B762A2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C9D6997"/>
    <w:multiLevelType w:val="hybridMultilevel"/>
    <w:tmpl w:val="4104A92C"/>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CC5F43"/>
    <w:multiLevelType w:val="hybridMultilevel"/>
    <w:tmpl w:val="9D262D46"/>
    <w:lvl w:ilvl="0" w:tplc="2E06E946">
      <w:start w:val="1"/>
      <w:numFmt w:val="bullet"/>
      <w:lvlText w:val=""/>
      <w:lvlJc w:val="left"/>
      <w:pPr>
        <w:tabs>
          <w:tab w:val="num" w:pos="1440"/>
        </w:tabs>
        <w:ind w:left="144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14"/>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7"/>
  </w:num>
  <w:num w:numId="11">
    <w:abstractNumId w:val="11"/>
  </w:num>
  <w:num w:numId="12">
    <w:abstractNumId w:val="0"/>
  </w:num>
  <w:num w:numId="13">
    <w:abstractNumId w:val="13"/>
  </w:num>
  <w:num w:numId="14">
    <w:abstractNumId w:val="12"/>
  </w:num>
  <w:num w:numId="15">
    <w:abstractNumId w:val="9"/>
  </w:num>
  <w:num w:numId="16">
    <w:abstractNumId w:val="12"/>
  </w:num>
  <w:num w:numId="17">
    <w:abstractNumId w:val="10"/>
  </w:num>
  <w:num w:numId="18">
    <w:abstractNumId w:val="2"/>
  </w:num>
  <w:num w:numId="19">
    <w:abstractNumId w:val="16"/>
  </w:num>
  <w:num w:numId="20">
    <w:abstractNumId w:val="17"/>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6A"/>
    <w:rsid w:val="000020FD"/>
    <w:rsid w:val="00022C17"/>
    <w:rsid w:val="0002322E"/>
    <w:rsid w:val="00026F90"/>
    <w:rsid w:val="00034627"/>
    <w:rsid w:val="000428B1"/>
    <w:rsid w:val="00057E05"/>
    <w:rsid w:val="00060B68"/>
    <w:rsid w:val="000649DF"/>
    <w:rsid w:val="0006525B"/>
    <w:rsid w:val="00077449"/>
    <w:rsid w:val="00091435"/>
    <w:rsid w:val="000B0694"/>
    <w:rsid w:val="000B2547"/>
    <w:rsid w:val="000B3EEF"/>
    <w:rsid w:val="000D38B5"/>
    <w:rsid w:val="000D47A6"/>
    <w:rsid w:val="000F07B3"/>
    <w:rsid w:val="00116992"/>
    <w:rsid w:val="00126ADE"/>
    <w:rsid w:val="00135B43"/>
    <w:rsid w:val="00145356"/>
    <w:rsid w:val="00150AFF"/>
    <w:rsid w:val="001547EF"/>
    <w:rsid w:val="0018244B"/>
    <w:rsid w:val="001851BA"/>
    <w:rsid w:val="00191159"/>
    <w:rsid w:val="001C2E96"/>
    <w:rsid w:val="001C31D5"/>
    <w:rsid w:val="001D6E11"/>
    <w:rsid w:val="001D7BAE"/>
    <w:rsid w:val="001E5433"/>
    <w:rsid w:val="001F308A"/>
    <w:rsid w:val="00225BA8"/>
    <w:rsid w:val="00237D01"/>
    <w:rsid w:val="00262105"/>
    <w:rsid w:val="0027635C"/>
    <w:rsid w:val="00283209"/>
    <w:rsid w:val="002851C4"/>
    <w:rsid w:val="00294D18"/>
    <w:rsid w:val="002A64C6"/>
    <w:rsid w:val="002A66A3"/>
    <w:rsid w:val="002B1C14"/>
    <w:rsid w:val="002B3935"/>
    <w:rsid w:val="002B5DCB"/>
    <w:rsid w:val="002C1C46"/>
    <w:rsid w:val="002C4A94"/>
    <w:rsid w:val="002C62AA"/>
    <w:rsid w:val="002D7DD8"/>
    <w:rsid w:val="002E315B"/>
    <w:rsid w:val="002E77F0"/>
    <w:rsid w:val="002F2A56"/>
    <w:rsid w:val="003135A1"/>
    <w:rsid w:val="00333282"/>
    <w:rsid w:val="003436FE"/>
    <w:rsid w:val="00343BCF"/>
    <w:rsid w:val="003464A6"/>
    <w:rsid w:val="00352AEB"/>
    <w:rsid w:val="00353A62"/>
    <w:rsid w:val="003805DA"/>
    <w:rsid w:val="003807B1"/>
    <w:rsid w:val="00386750"/>
    <w:rsid w:val="00392290"/>
    <w:rsid w:val="00394613"/>
    <w:rsid w:val="003B29AD"/>
    <w:rsid w:val="003B65A4"/>
    <w:rsid w:val="003C7B5C"/>
    <w:rsid w:val="003F10EA"/>
    <w:rsid w:val="003F667B"/>
    <w:rsid w:val="0040313E"/>
    <w:rsid w:val="00410B6D"/>
    <w:rsid w:val="0041608E"/>
    <w:rsid w:val="00434F75"/>
    <w:rsid w:val="00441F9F"/>
    <w:rsid w:val="00456722"/>
    <w:rsid w:val="00462F6A"/>
    <w:rsid w:val="0046311B"/>
    <w:rsid w:val="004762AE"/>
    <w:rsid w:val="00477DCB"/>
    <w:rsid w:val="004A1DB1"/>
    <w:rsid w:val="004A429C"/>
    <w:rsid w:val="004A5F16"/>
    <w:rsid w:val="004B159A"/>
    <w:rsid w:val="004C0330"/>
    <w:rsid w:val="004C0921"/>
    <w:rsid w:val="004C0C39"/>
    <w:rsid w:val="004D1ADD"/>
    <w:rsid w:val="00506DA5"/>
    <w:rsid w:val="00507E1B"/>
    <w:rsid w:val="0051102B"/>
    <w:rsid w:val="0054478D"/>
    <w:rsid w:val="00545A51"/>
    <w:rsid w:val="00551481"/>
    <w:rsid w:val="00556DF9"/>
    <w:rsid w:val="0056623D"/>
    <w:rsid w:val="00570C24"/>
    <w:rsid w:val="00580DAE"/>
    <w:rsid w:val="00586874"/>
    <w:rsid w:val="005A0EC6"/>
    <w:rsid w:val="005A7FBC"/>
    <w:rsid w:val="005B3EBC"/>
    <w:rsid w:val="005C4401"/>
    <w:rsid w:val="005C5A6E"/>
    <w:rsid w:val="005C64C4"/>
    <w:rsid w:val="005E0F87"/>
    <w:rsid w:val="005E2848"/>
    <w:rsid w:val="005F3A23"/>
    <w:rsid w:val="00601C01"/>
    <w:rsid w:val="00604150"/>
    <w:rsid w:val="0062121E"/>
    <w:rsid w:val="006251AD"/>
    <w:rsid w:val="006258AC"/>
    <w:rsid w:val="00627EA9"/>
    <w:rsid w:val="006372CE"/>
    <w:rsid w:val="00664177"/>
    <w:rsid w:val="00664B8C"/>
    <w:rsid w:val="00667CB5"/>
    <w:rsid w:val="00686542"/>
    <w:rsid w:val="006A3739"/>
    <w:rsid w:val="006A5071"/>
    <w:rsid w:val="006A652D"/>
    <w:rsid w:val="006B0292"/>
    <w:rsid w:val="006B3D85"/>
    <w:rsid w:val="006C0AA8"/>
    <w:rsid w:val="006C5041"/>
    <w:rsid w:val="006C6396"/>
    <w:rsid w:val="006D7FCE"/>
    <w:rsid w:val="00703B51"/>
    <w:rsid w:val="00704013"/>
    <w:rsid w:val="00704933"/>
    <w:rsid w:val="0071446F"/>
    <w:rsid w:val="007233BD"/>
    <w:rsid w:val="007233C5"/>
    <w:rsid w:val="00733D4E"/>
    <w:rsid w:val="00737848"/>
    <w:rsid w:val="00744FA8"/>
    <w:rsid w:val="007515D0"/>
    <w:rsid w:val="007630B9"/>
    <w:rsid w:val="00763334"/>
    <w:rsid w:val="00763F69"/>
    <w:rsid w:val="00777CD5"/>
    <w:rsid w:val="00782D92"/>
    <w:rsid w:val="0078620B"/>
    <w:rsid w:val="00791802"/>
    <w:rsid w:val="007E0AA3"/>
    <w:rsid w:val="007F79AD"/>
    <w:rsid w:val="00803B34"/>
    <w:rsid w:val="00807340"/>
    <w:rsid w:val="00815325"/>
    <w:rsid w:val="00824381"/>
    <w:rsid w:val="00831B21"/>
    <w:rsid w:val="00832846"/>
    <w:rsid w:val="00837CE9"/>
    <w:rsid w:val="008469D8"/>
    <w:rsid w:val="008478A8"/>
    <w:rsid w:val="00857F87"/>
    <w:rsid w:val="008639AE"/>
    <w:rsid w:val="008708E1"/>
    <w:rsid w:val="00891623"/>
    <w:rsid w:val="0089373B"/>
    <w:rsid w:val="008A5059"/>
    <w:rsid w:val="008A62A3"/>
    <w:rsid w:val="008C203D"/>
    <w:rsid w:val="008D2F78"/>
    <w:rsid w:val="008E0654"/>
    <w:rsid w:val="008E6DA2"/>
    <w:rsid w:val="00905EAE"/>
    <w:rsid w:val="0091036D"/>
    <w:rsid w:val="00914DB1"/>
    <w:rsid w:val="00924545"/>
    <w:rsid w:val="009249AF"/>
    <w:rsid w:val="00936478"/>
    <w:rsid w:val="0094276B"/>
    <w:rsid w:val="00945CD6"/>
    <w:rsid w:val="009476C3"/>
    <w:rsid w:val="0095364D"/>
    <w:rsid w:val="00957054"/>
    <w:rsid w:val="0096742A"/>
    <w:rsid w:val="00972F8E"/>
    <w:rsid w:val="00976227"/>
    <w:rsid w:val="00982759"/>
    <w:rsid w:val="00990031"/>
    <w:rsid w:val="009B136A"/>
    <w:rsid w:val="009B551D"/>
    <w:rsid w:val="009D1526"/>
    <w:rsid w:val="00A129E1"/>
    <w:rsid w:val="00A13A29"/>
    <w:rsid w:val="00A15564"/>
    <w:rsid w:val="00A40658"/>
    <w:rsid w:val="00A465B0"/>
    <w:rsid w:val="00A54FE3"/>
    <w:rsid w:val="00A60705"/>
    <w:rsid w:val="00A6120C"/>
    <w:rsid w:val="00A641FC"/>
    <w:rsid w:val="00AB1510"/>
    <w:rsid w:val="00AB4762"/>
    <w:rsid w:val="00AC08D7"/>
    <w:rsid w:val="00AC0E20"/>
    <w:rsid w:val="00AD0BD2"/>
    <w:rsid w:val="00AD2183"/>
    <w:rsid w:val="00AE1411"/>
    <w:rsid w:val="00AF3752"/>
    <w:rsid w:val="00B218B6"/>
    <w:rsid w:val="00B26360"/>
    <w:rsid w:val="00B3071C"/>
    <w:rsid w:val="00B45388"/>
    <w:rsid w:val="00B628F2"/>
    <w:rsid w:val="00B638D9"/>
    <w:rsid w:val="00B71DFC"/>
    <w:rsid w:val="00B811D8"/>
    <w:rsid w:val="00B9235F"/>
    <w:rsid w:val="00BD6785"/>
    <w:rsid w:val="00BD7209"/>
    <w:rsid w:val="00BE24FA"/>
    <w:rsid w:val="00BF42AF"/>
    <w:rsid w:val="00BF44D4"/>
    <w:rsid w:val="00C01187"/>
    <w:rsid w:val="00C16538"/>
    <w:rsid w:val="00C1707B"/>
    <w:rsid w:val="00C20A3E"/>
    <w:rsid w:val="00C21021"/>
    <w:rsid w:val="00C22C6F"/>
    <w:rsid w:val="00C27D33"/>
    <w:rsid w:val="00C4705A"/>
    <w:rsid w:val="00C62067"/>
    <w:rsid w:val="00C8144F"/>
    <w:rsid w:val="00C833B7"/>
    <w:rsid w:val="00C83EEC"/>
    <w:rsid w:val="00C85EDF"/>
    <w:rsid w:val="00C9098A"/>
    <w:rsid w:val="00CA3D19"/>
    <w:rsid w:val="00CA3D38"/>
    <w:rsid w:val="00CA62F2"/>
    <w:rsid w:val="00CB14D6"/>
    <w:rsid w:val="00CB4827"/>
    <w:rsid w:val="00CB6154"/>
    <w:rsid w:val="00CC3096"/>
    <w:rsid w:val="00CD0319"/>
    <w:rsid w:val="00CD7B78"/>
    <w:rsid w:val="00CE34D3"/>
    <w:rsid w:val="00CE4086"/>
    <w:rsid w:val="00CE5773"/>
    <w:rsid w:val="00CE75E7"/>
    <w:rsid w:val="00D045AA"/>
    <w:rsid w:val="00D06EDF"/>
    <w:rsid w:val="00D104F4"/>
    <w:rsid w:val="00D11AAD"/>
    <w:rsid w:val="00D17819"/>
    <w:rsid w:val="00D22A98"/>
    <w:rsid w:val="00D2332E"/>
    <w:rsid w:val="00D317ED"/>
    <w:rsid w:val="00D451A1"/>
    <w:rsid w:val="00D453E1"/>
    <w:rsid w:val="00D460D4"/>
    <w:rsid w:val="00D47872"/>
    <w:rsid w:val="00D663B6"/>
    <w:rsid w:val="00D7372D"/>
    <w:rsid w:val="00D7614E"/>
    <w:rsid w:val="00D8140E"/>
    <w:rsid w:val="00D92DAD"/>
    <w:rsid w:val="00D96210"/>
    <w:rsid w:val="00DA7720"/>
    <w:rsid w:val="00DB7455"/>
    <w:rsid w:val="00DC7412"/>
    <w:rsid w:val="00DF1B19"/>
    <w:rsid w:val="00E1037A"/>
    <w:rsid w:val="00E125C2"/>
    <w:rsid w:val="00E41D58"/>
    <w:rsid w:val="00E4344F"/>
    <w:rsid w:val="00E665B0"/>
    <w:rsid w:val="00E72565"/>
    <w:rsid w:val="00E80EB7"/>
    <w:rsid w:val="00E84189"/>
    <w:rsid w:val="00EA0764"/>
    <w:rsid w:val="00EB46B7"/>
    <w:rsid w:val="00EE09EB"/>
    <w:rsid w:val="00EE542B"/>
    <w:rsid w:val="00EF208E"/>
    <w:rsid w:val="00EF7D0F"/>
    <w:rsid w:val="00F011EA"/>
    <w:rsid w:val="00F12218"/>
    <w:rsid w:val="00F26E59"/>
    <w:rsid w:val="00F27560"/>
    <w:rsid w:val="00F45394"/>
    <w:rsid w:val="00F60B76"/>
    <w:rsid w:val="00F65375"/>
    <w:rsid w:val="00F70829"/>
    <w:rsid w:val="00F71E49"/>
    <w:rsid w:val="00F80138"/>
    <w:rsid w:val="00F929C7"/>
    <w:rsid w:val="00FA44FC"/>
    <w:rsid w:val="00FA58D7"/>
    <w:rsid w:val="00FB3C0B"/>
    <w:rsid w:val="00FC4111"/>
    <w:rsid w:val="00FC55FD"/>
    <w:rsid w:val="00FC7D4B"/>
    <w:rsid w:val="00FE25EF"/>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8E"/>
    <w:pPr>
      <w:spacing w:after="200" w:line="276" w:lineRule="auto"/>
    </w:pPr>
  </w:style>
  <w:style w:type="paragraph" w:styleId="Heading1">
    <w:name w:val="heading 1"/>
    <w:basedOn w:val="Normal"/>
    <w:next w:val="Normal"/>
    <w:link w:val="Heading1Char"/>
    <w:uiPriority w:val="99"/>
    <w:qFormat/>
    <w:locked/>
    <w:rsid w:val="00D7372D"/>
    <w:pPr>
      <w:keepNext/>
      <w:spacing w:after="0" w:line="240" w:lineRule="auto"/>
      <w:outlineLvl w:val="0"/>
    </w:pPr>
    <w:rPr>
      <w:rFonts w:ascii="Arial" w:hAnsi="Arial" w:cs="Arial"/>
      <w:sz w:val="24"/>
      <w:szCs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2AE"/>
    <w:rPr>
      <w:rFonts w:ascii="Cambria" w:hAnsi="Cambria" w:cs="Times New Roman"/>
      <w:b/>
      <w:bCs/>
      <w:kern w:val="32"/>
      <w:sz w:val="32"/>
      <w:szCs w:val="32"/>
    </w:rPr>
  </w:style>
  <w:style w:type="paragraph" w:styleId="NoSpacing">
    <w:name w:val="No Spacing"/>
    <w:uiPriority w:val="99"/>
    <w:qFormat/>
    <w:rsid w:val="00462F6A"/>
  </w:style>
  <w:style w:type="paragraph" w:styleId="BalloonText">
    <w:name w:val="Balloon Text"/>
    <w:basedOn w:val="Normal"/>
    <w:link w:val="BalloonTextChar"/>
    <w:uiPriority w:val="99"/>
    <w:semiHidden/>
    <w:rsid w:val="0046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F6A"/>
    <w:rPr>
      <w:rFonts w:ascii="Tahoma" w:hAnsi="Tahoma" w:cs="Tahoma"/>
      <w:sz w:val="16"/>
      <w:szCs w:val="16"/>
    </w:rPr>
  </w:style>
  <w:style w:type="character" w:styleId="Hyperlink">
    <w:name w:val="Hyperlink"/>
    <w:basedOn w:val="DefaultParagraphFont"/>
    <w:uiPriority w:val="99"/>
    <w:rsid w:val="00AD2183"/>
    <w:rPr>
      <w:rFonts w:cs="Times New Roman"/>
      <w:color w:val="0000FF"/>
      <w:u w:val="single"/>
    </w:rPr>
  </w:style>
  <w:style w:type="character" w:styleId="Strong">
    <w:name w:val="Strong"/>
    <w:basedOn w:val="DefaultParagraphFont"/>
    <w:uiPriority w:val="99"/>
    <w:qFormat/>
    <w:locked/>
    <w:rsid w:val="00891623"/>
    <w:rPr>
      <w:rFonts w:cs="Times New Roman"/>
      <w:b/>
      <w:bCs/>
    </w:rPr>
  </w:style>
  <w:style w:type="paragraph" w:styleId="Footer">
    <w:name w:val="footer"/>
    <w:basedOn w:val="Normal"/>
    <w:link w:val="FooterChar"/>
    <w:uiPriority w:val="99"/>
    <w:rsid w:val="00C22C6F"/>
    <w:pPr>
      <w:tabs>
        <w:tab w:val="center" w:pos="4320"/>
        <w:tab w:val="right" w:pos="8640"/>
      </w:tabs>
    </w:pPr>
  </w:style>
  <w:style w:type="character" w:customStyle="1" w:styleId="FooterChar">
    <w:name w:val="Footer Char"/>
    <w:basedOn w:val="DefaultParagraphFont"/>
    <w:link w:val="Footer"/>
    <w:uiPriority w:val="99"/>
    <w:semiHidden/>
    <w:locked/>
    <w:rsid w:val="00D045AA"/>
    <w:rPr>
      <w:rFonts w:cs="Times New Roman"/>
    </w:rPr>
  </w:style>
  <w:style w:type="character" w:styleId="PageNumber">
    <w:name w:val="page number"/>
    <w:basedOn w:val="DefaultParagraphFont"/>
    <w:uiPriority w:val="99"/>
    <w:rsid w:val="00C22C6F"/>
    <w:rPr>
      <w:rFonts w:cs="Times New Roman"/>
    </w:rPr>
  </w:style>
  <w:style w:type="table" w:styleId="TableGrid">
    <w:name w:val="Table Grid"/>
    <w:basedOn w:val="TableNormal"/>
    <w:uiPriority w:val="99"/>
    <w:locked/>
    <w:rsid w:val="008E065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8E"/>
    <w:pPr>
      <w:spacing w:after="200" w:line="276" w:lineRule="auto"/>
    </w:pPr>
  </w:style>
  <w:style w:type="paragraph" w:styleId="Heading1">
    <w:name w:val="heading 1"/>
    <w:basedOn w:val="Normal"/>
    <w:next w:val="Normal"/>
    <w:link w:val="Heading1Char"/>
    <w:uiPriority w:val="99"/>
    <w:qFormat/>
    <w:locked/>
    <w:rsid w:val="00D7372D"/>
    <w:pPr>
      <w:keepNext/>
      <w:spacing w:after="0" w:line="240" w:lineRule="auto"/>
      <w:outlineLvl w:val="0"/>
    </w:pPr>
    <w:rPr>
      <w:rFonts w:ascii="Arial" w:hAnsi="Arial" w:cs="Arial"/>
      <w:sz w:val="24"/>
      <w:szCs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2AE"/>
    <w:rPr>
      <w:rFonts w:ascii="Cambria" w:hAnsi="Cambria" w:cs="Times New Roman"/>
      <w:b/>
      <w:bCs/>
      <w:kern w:val="32"/>
      <w:sz w:val="32"/>
      <w:szCs w:val="32"/>
    </w:rPr>
  </w:style>
  <w:style w:type="paragraph" w:styleId="NoSpacing">
    <w:name w:val="No Spacing"/>
    <w:uiPriority w:val="99"/>
    <w:qFormat/>
    <w:rsid w:val="00462F6A"/>
  </w:style>
  <w:style w:type="paragraph" w:styleId="BalloonText">
    <w:name w:val="Balloon Text"/>
    <w:basedOn w:val="Normal"/>
    <w:link w:val="BalloonTextChar"/>
    <w:uiPriority w:val="99"/>
    <w:semiHidden/>
    <w:rsid w:val="0046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F6A"/>
    <w:rPr>
      <w:rFonts w:ascii="Tahoma" w:hAnsi="Tahoma" w:cs="Tahoma"/>
      <w:sz w:val="16"/>
      <w:szCs w:val="16"/>
    </w:rPr>
  </w:style>
  <w:style w:type="character" w:styleId="Hyperlink">
    <w:name w:val="Hyperlink"/>
    <w:basedOn w:val="DefaultParagraphFont"/>
    <w:uiPriority w:val="99"/>
    <w:rsid w:val="00AD2183"/>
    <w:rPr>
      <w:rFonts w:cs="Times New Roman"/>
      <w:color w:val="0000FF"/>
      <w:u w:val="single"/>
    </w:rPr>
  </w:style>
  <w:style w:type="character" w:styleId="Strong">
    <w:name w:val="Strong"/>
    <w:basedOn w:val="DefaultParagraphFont"/>
    <w:uiPriority w:val="99"/>
    <w:qFormat/>
    <w:locked/>
    <w:rsid w:val="00891623"/>
    <w:rPr>
      <w:rFonts w:cs="Times New Roman"/>
      <w:b/>
      <w:bCs/>
    </w:rPr>
  </w:style>
  <w:style w:type="paragraph" w:styleId="Footer">
    <w:name w:val="footer"/>
    <w:basedOn w:val="Normal"/>
    <w:link w:val="FooterChar"/>
    <w:uiPriority w:val="99"/>
    <w:rsid w:val="00C22C6F"/>
    <w:pPr>
      <w:tabs>
        <w:tab w:val="center" w:pos="4320"/>
        <w:tab w:val="right" w:pos="8640"/>
      </w:tabs>
    </w:pPr>
  </w:style>
  <w:style w:type="character" w:customStyle="1" w:styleId="FooterChar">
    <w:name w:val="Footer Char"/>
    <w:basedOn w:val="DefaultParagraphFont"/>
    <w:link w:val="Footer"/>
    <w:uiPriority w:val="99"/>
    <w:semiHidden/>
    <w:locked/>
    <w:rsid w:val="00D045AA"/>
    <w:rPr>
      <w:rFonts w:cs="Times New Roman"/>
    </w:rPr>
  </w:style>
  <w:style w:type="character" w:styleId="PageNumber">
    <w:name w:val="page number"/>
    <w:basedOn w:val="DefaultParagraphFont"/>
    <w:uiPriority w:val="99"/>
    <w:rsid w:val="00C22C6F"/>
    <w:rPr>
      <w:rFonts w:cs="Times New Roman"/>
    </w:rPr>
  </w:style>
  <w:style w:type="table" w:styleId="TableGrid">
    <w:name w:val="Table Grid"/>
    <w:basedOn w:val="TableNormal"/>
    <w:uiPriority w:val="99"/>
    <w:locked/>
    <w:rsid w:val="008E065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39364">
      <w:bodyDiv w:val="1"/>
      <w:marLeft w:val="0"/>
      <w:marRight w:val="0"/>
      <w:marTop w:val="0"/>
      <w:marBottom w:val="0"/>
      <w:divBdr>
        <w:top w:val="none" w:sz="0" w:space="0" w:color="auto"/>
        <w:left w:val="none" w:sz="0" w:space="0" w:color="auto"/>
        <w:bottom w:val="none" w:sz="0" w:space="0" w:color="auto"/>
        <w:right w:val="none" w:sz="0" w:space="0" w:color="auto"/>
      </w:divBdr>
    </w:div>
    <w:div w:id="1864512608">
      <w:marLeft w:val="0"/>
      <w:marRight w:val="0"/>
      <w:marTop w:val="0"/>
      <w:marBottom w:val="0"/>
      <w:divBdr>
        <w:top w:val="none" w:sz="0" w:space="0" w:color="auto"/>
        <w:left w:val="none" w:sz="0" w:space="0" w:color="auto"/>
        <w:bottom w:val="none" w:sz="0" w:space="0" w:color="auto"/>
        <w:right w:val="none" w:sz="0" w:space="0" w:color="auto"/>
      </w:divBdr>
    </w:div>
    <w:div w:id="1864512609">
      <w:marLeft w:val="0"/>
      <w:marRight w:val="0"/>
      <w:marTop w:val="0"/>
      <w:marBottom w:val="0"/>
      <w:divBdr>
        <w:top w:val="none" w:sz="0" w:space="0" w:color="auto"/>
        <w:left w:val="none" w:sz="0" w:space="0" w:color="auto"/>
        <w:bottom w:val="none" w:sz="0" w:space="0" w:color="auto"/>
        <w:right w:val="none" w:sz="0" w:space="0" w:color="auto"/>
      </w:divBdr>
    </w:div>
    <w:div w:id="1864512610">
      <w:marLeft w:val="0"/>
      <w:marRight w:val="0"/>
      <w:marTop w:val="0"/>
      <w:marBottom w:val="0"/>
      <w:divBdr>
        <w:top w:val="none" w:sz="0" w:space="0" w:color="auto"/>
        <w:left w:val="none" w:sz="0" w:space="0" w:color="auto"/>
        <w:bottom w:val="none" w:sz="0" w:space="0" w:color="auto"/>
        <w:right w:val="none" w:sz="0" w:space="0" w:color="auto"/>
      </w:divBdr>
    </w:div>
    <w:div w:id="1864512611">
      <w:marLeft w:val="0"/>
      <w:marRight w:val="0"/>
      <w:marTop w:val="0"/>
      <w:marBottom w:val="0"/>
      <w:divBdr>
        <w:top w:val="none" w:sz="0" w:space="0" w:color="auto"/>
        <w:left w:val="none" w:sz="0" w:space="0" w:color="auto"/>
        <w:bottom w:val="none" w:sz="0" w:space="0" w:color="auto"/>
        <w:right w:val="none" w:sz="0" w:space="0" w:color="auto"/>
      </w:divBdr>
    </w:div>
    <w:div w:id="1864512612">
      <w:marLeft w:val="0"/>
      <w:marRight w:val="0"/>
      <w:marTop w:val="0"/>
      <w:marBottom w:val="0"/>
      <w:divBdr>
        <w:top w:val="none" w:sz="0" w:space="0" w:color="auto"/>
        <w:left w:val="none" w:sz="0" w:space="0" w:color="auto"/>
        <w:bottom w:val="none" w:sz="0" w:space="0" w:color="auto"/>
        <w:right w:val="none" w:sz="0" w:space="0" w:color="auto"/>
      </w:divBdr>
    </w:div>
    <w:div w:id="1864512613">
      <w:marLeft w:val="0"/>
      <w:marRight w:val="0"/>
      <w:marTop w:val="0"/>
      <w:marBottom w:val="0"/>
      <w:divBdr>
        <w:top w:val="none" w:sz="0" w:space="0" w:color="auto"/>
        <w:left w:val="none" w:sz="0" w:space="0" w:color="auto"/>
        <w:bottom w:val="none" w:sz="0" w:space="0" w:color="auto"/>
        <w:right w:val="none" w:sz="0" w:space="0" w:color="auto"/>
      </w:divBdr>
    </w:div>
    <w:div w:id="1864512614">
      <w:marLeft w:val="0"/>
      <w:marRight w:val="0"/>
      <w:marTop w:val="0"/>
      <w:marBottom w:val="0"/>
      <w:divBdr>
        <w:top w:val="none" w:sz="0" w:space="0" w:color="auto"/>
        <w:left w:val="none" w:sz="0" w:space="0" w:color="auto"/>
        <w:bottom w:val="none" w:sz="0" w:space="0" w:color="auto"/>
        <w:right w:val="none" w:sz="0" w:space="0" w:color="auto"/>
      </w:divBdr>
    </w:div>
    <w:div w:id="1864512615">
      <w:marLeft w:val="0"/>
      <w:marRight w:val="0"/>
      <w:marTop w:val="0"/>
      <w:marBottom w:val="0"/>
      <w:divBdr>
        <w:top w:val="none" w:sz="0" w:space="0" w:color="auto"/>
        <w:left w:val="none" w:sz="0" w:space="0" w:color="auto"/>
        <w:bottom w:val="none" w:sz="0" w:space="0" w:color="auto"/>
        <w:right w:val="none" w:sz="0" w:space="0" w:color="auto"/>
      </w:divBdr>
    </w:div>
    <w:div w:id="1864512616">
      <w:marLeft w:val="0"/>
      <w:marRight w:val="0"/>
      <w:marTop w:val="0"/>
      <w:marBottom w:val="0"/>
      <w:divBdr>
        <w:top w:val="none" w:sz="0" w:space="0" w:color="auto"/>
        <w:left w:val="none" w:sz="0" w:space="0" w:color="auto"/>
        <w:bottom w:val="none" w:sz="0" w:space="0" w:color="auto"/>
        <w:right w:val="none" w:sz="0" w:space="0" w:color="auto"/>
      </w:divBdr>
    </w:div>
    <w:div w:id="1864512617">
      <w:marLeft w:val="0"/>
      <w:marRight w:val="0"/>
      <w:marTop w:val="0"/>
      <w:marBottom w:val="0"/>
      <w:divBdr>
        <w:top w:val="none" w:sz="0" w:space="0" w:color="auto"/>
        <w:left w:val="none" w:sz="0" w:space="0" w:color="auto"/>
        <w:bottom w:val="none" w:sz="0" w:space="0" w:color="auto"/>
        <w:right w:val="none" w:sz="0" w:space="0" w:color="auto"/>
      </w:divBdr>
    </w:div>
    <w:div w:id="1864512618">
      <w:marLeft w:val="0"/>
      <w:marRight w:val="0"/>
      <w:marTop w:val="0"/>
      <w:marBottom w:val="0"/>
      <w:divBdr>
        <w:top w:val="none" w:sz="0" w:space="0" w:color="auto"/>
        <w:left w:val="none" w:sz="0" w:space="0" w:color="auto"/>
        <w:bottom w:val="none" w:sz="0" w:space="0" w:color="auto"/>
        <w:right w:val="none" w:sz="0" w:space="0" w:color="auto"/>
      </w:divBdr>
    </w:div>
    <w:div w:id="1864512619">
      <w:marLeft w:val="0"/>
      <w:marRight w:val="0"/>
      <w:marTop w:val="0"/>
      <w:marBottom w:val="0"/>
      <w:divBdr>
        <w:top w:val="none" w:sz="0" w:space="0" w:color="auto"/>
        <w:left w:val="none" w:sz="0" w:space="0" w:color="auto"/>
        <w:bottom w:val="none" w:sz="0" w:space="0" w:color="auto"/>
        <w:right w:val="none" w:sz="0" w:space="0" w:color="auto"/>
      </w:divBdr>
    </w:div>
    <w:div w:id="1864512620">
      <w:marLeft w:val="0"/>
      <w:marRight w:val="0"/>
      <w:marTop w:val="0"/>
      <w:marBottom w:val="0"/>
      <w:divBdr>
        <w:top w:val="none" w:sz="0" w:space="0" w:color="auto"/>
        <w:left w:val="none" w:sz="0" w:space="0" w:color="auto"/>
        <w:bottom w:val="none" w:sz="0" w:space="0" w:color="auto"/>
        <w:right w:val="none" w:sz="0" w:space="0" w:color="auto"/>
      </w:divBdr>
    </w:div>
    <w:div w:id="1864512621">
      <w:marLeft w:val="0"/>
      <w:marRight w:val="0"/>
      <w:marTop w:val="0"/>
      <w:marBottom w:val="0"/>
      <w:divBdr>
        <w:top w:val="none" w:sz="0" w:space="0" w:color="auto"/>
        <w:left w:val="none" w:sz="0" w:space="0" w:color="auto"/>
        <w:bottom w:val="none" w:sz="0" w:space="0" w:color="auto"/>
        <w:right w:val="none" w:sz="0" w:space="0" w:color="auto"/>
      </w:divBdr>
    </w:div>
    <w:div w:id="1864512622">
      <w:marLeft w:val="0"/>
      <w:marRight w:val="0"/>
      <w:marTop w:val="0"/>
      <w:marBottom w:val="0"/>
      <w:divBdr>
        <w:top w:val="none" w:sz="0" w:space="0" w:color="auto"/>
        <w:left w:val="none" w:sz="0" w:space="0" w:color="auto"/>
        <w:bottom w:val="none" w:sz="0" w:space="0" w:color="auto"/>
        <w:right w:val="none" w:sz="0" w:space="0" w:color="auto"/>
      </w:divBdr>
    </w:div>
    <w:div w:id="19221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WSNetwor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aghan@EWSNetwor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Booking Rates</a:t>
            </a:r>
          </a:p>
        </c:rich>
      </c:tx>
      <c:overlay val="0"/>
      <c:spPr>
        <a:noFill/>
        <a:ln w="33365">
          <a:noFill/>
        </a:ln>
      </c:spPr>
    </c:title>
    <c:autoTitleDeleted val="0"/>
    <c:view3D>
      <c:rotX val="30"/>
      <c:rotY val="60"/>
      <c:rAngAx val="0"/>
      <c:perspective val="30"/>
    </c:view3D>
    <c:floor>
      <c:thickness val="0"/>
    </c:floor>
    <c:sideWall>
      <c:thickness val="0"/>
    </c:sideWall>
    <c:backWall>
      <c:thickness val="0"/>
    </c:backWall>
    <c:plotArea>
      <c:layout>
        <c:manualLayout>
          <c:layoutTarget val="inner"/>
          <c:xMode val="edge"/>
          <c:yMode val="edge"/>
          <c:x val="0.15057915057915058"/>
          <c:y val="0.40458015267175573"/>
          <c:w val="0.31274131274131273"/>
          <c:h val="0.38931297709923662"/>
        </c:manualLayout>
      </c:layout>
      <c:pie3DChart>
        <c:varyColors val="1"/>
        <c:ser>
          <c:idx val="0"/>
          <c:order val="0"/>
          <c:tx>
            <c:strRef>
              <c:f>Sheet1!$B$1</c:f>
              <c:strCache>
                <c:ptCount val="1"/>
                <c:pt idx="0">
                  <c:v>Sales</c:v>
                </c:pt>
              </c:strCache>
            </c:strRef>
          </c:tx>
          <c:spPr>
            <a:scene3d>
              <a:camera prst="orthographicFront"/>
              <a:lightRig rig="threePt" dir="t"/>
            </a:scene3d>
            <a:sp3d>
              <a:bevelT/>
            </a:sp3d>
          </c:spPr>
          <c:explosion val="25"/>
          <c:dPt>
            <c:idx val="0"/>
            <c:bubble3D val="0"/>
            <c:spPr>
              <a:solidFill>
                <a:srgbClr val="48DF0B"/>
              </a:solidFill>
              <a:scene3d>
                <a:camera prst="orthographicFront"/>
                <a:lightRig rig="threePt" dir="t"/>
              </a:scene3d>
              <a:sp3d>
                <a:bevelT/>
              </a:sp3d>
            </c:spPr>
          </c:dPt>
          <c:dPt>
            <c:idx val="1"/>
            <c:bubble3D val="0"/>
            <c:spPr>
              <a:solidFill>
                <a:srgbClr val="002060"/>
              </a:solidFill>
              <a:scene3d>
                <a:camera prst="orthographicFront"/>
                <a:lightRig rig="threePt" dir="t"/>
              </a:scene3d>
              <a:sp3d>
                <a:bevelT/>
              </a:sp3d>
            </c:spPr>
          </c:dPt>
          <c:dLbls>
            <c:spPr>
              <a:noFill/>
              <a:ln w="33365">
                <a:noFill/>
              </a:ln>
            </c:spPr>
            <c:txPr>
              <a:bodyPr/>
              <a:lstStyle/>
              <a:p>
                <a:pPr>
                  <a:defRPr sz="1200"/>
                </a:pPr>
                <a:endParaRPr lang="en-US"/>
              </a:p>
            </c:txPr>
            <c:showLegendKey val="0"/>
            <c:showVal val="1"/>
            <c:showCatName val="0"/>
            <c:showSerName val="0"/>
            <c:showPercent val="0"/>
            <c:showBubbleSize val="0"/>
            <c:showLeaderLines val="1"/>
          </c:dLbls>
          <c:cat>
            <c:strRef>
              <c:f>Sheet1!$A$2:$A$3</c:f>
              <c:strCache>
                <c:ptCount val="2"/>
                <c:pt idx="0">
                  <c:v>Booked</c:v>
                </c:pt>
                <c:pt idx="1">
                  <c:v>Not Booked</c:v>
                </c:pt>
              </c:strCache>
            </c:strRef>
          </c:cat>
          <c:val>
            <c:numRef>
              <c:f>Sheet1!$B$2:$B$3</c:f>
              <c:numCache>
                <c:formatCode>0%</c:formatCode>
                <c:ptCount val="2"/>
                <c:pt idx="0">
                  <c:v>0.97</c:v>
                </c:pt>
                <c:pt idx="1">
                  <c:v>0.03</c:v>
                </c:pt>
              </c:numCache>
            </c:numRef>
          </c:val>
        </c:ser>
        <c:dLbls>
          <c:showLegendKey val="0"/>
          <c:showVal val="0"/>
          <c:showCatName val="0"/>
          <c:showSerName val="0"/>
          <c:showPercent val="0"/>
          <c:showBubbleSize val="0"/>
          <c:showLeaderLines val="1"/>
        </c:dLbls>
      </c:pie3DChart>
      <c:spPr>
        <a:noFill/>
        <a:ln w="33365">
          <a:noFill/>
        </a:ln>
      </c:spPr>
    </c:plotArea>
    <c:legend>
      <c:legendPos val="r"/>
      <c:legendEntry>
        <c:idx val="0"/>
        <c:txPr>
          <a:bodyPr/>
          <a:lstStyle/>
          <a:p>
            <a:pPr>
              <a:defRPr sz="1200"/>
            </a:pPr>
            <a:endParaRPr lang="en-US"/>
          </a:p>
        </c:txPr>
      </c:legendEntry>
      <c:legendEntry>
        <c:idx val="1"/>
        <c:txPr>
          <a:bodyPr/>
          <a:lstStyle/>
          <a:p>
            <a:pPr>
              <a:defRPr sz="1200"/>
            </a:pPr>
            <a:endParaRPr lang="en-US"/>
          </a:p>
        </c:txPr>
      </c:legendEntry>
      <c:overlay val="0"/>
    </c:legend>
    <c:plotVisOnly val="1"/>
    <c:dispBlanksAs val="zero"/>
    <c:showDLblsOverMax val="0"/>
  </c:chart>
  <c:spPr>
    <a:ln>
      <a:noFill/>
    </a:ln>
    <a:scene3d>
      <a:camera prst="orthographicFront"/>
      <a:lightRig rig="threePt" dir="t"/>
    </a:scene3d>
    <a:sp3d prstMaterial="meta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Attendance Rates</a:t>
            </a:r>
          </a:p>
        </c:rich>
      </c:tx>
      <c:layout>
        <c:manualLayout>
          <c:xMode val="edge"/>
          <c:yMode val="edge"/>
          <c:x val="0.3057984496124031"/>
          <c:y val="4.7337278106508875E-2"/>
        </c:manualLayout>
      </c:layout>
      <c:overlay val="0"/>
      <c:spPr>
        <a:noFill/>
        <a:ln w="30206">
          <a:noFill/>
        </a:ln>
      </c:spPr>
    </c:title>
    <c:autoTitleDeleted val="0"/>
    <c:view3D>
      <c:rotX val="30"/>
      <c:rotY val="60"/>
      <c:rAngAx val="0"/>
      <c:perspective val="30"/>
    </c:view3D>
    <c:floor>
      <c:thickness val="0"/>
    </c:floor>
    <c:sideWall>
      <c:thickness val="0"/>
    </c:sideWall>
    <c:backWall>
      <c:thickness val="0"/>
    </c:backWall>
    <c:plotArea>
      <c:layout>
        <c:manualLayout>
          <c:layoutTarget val="inner"/>
          <c:xMode val="edge"/>
          <c:yMode val="edge"/>
          <c:x val="0.17760617760617761"/>
          <c:y val="0.40458015267175573"/>
          <c:w val="0.30501930501930502"/>
          <c:h val="0.38167938931297712"/>
        </c:manualLayout>
      </c:layout>
      <c:pie3DChart>
        <c:varyColors val="1"/>
        <c:ser>
          <c:idx val="0"/>
          <c:order val="0"/>
          <c:tx>
            <c:strRef>
              <c:f>Sheet1!$B$1</c:f>
              <c:strCache>
                <c:ptCount val="1"/>
                <c:pt idx="0">
                  <c:v>Sales</c:v>
                </c:pt>
              </c:strCache>
            </c:strRef>
          </c:tx>
          <c:spPr>
            <a:scene3d>
              <a:camera prst="orthographicFront"/>
              <a:lightRig rig="threePt" dir="t"/>
            </a:scene3d>
            <a:sp3d>
              <a:bevelT/>
            </a:sp3d>
          </c:spPr>
          <c:explosion val="25"/>
          <c:dPt>
            <c:idx val="0"/>
            <c:bubble3D val="0"/>
            <c:spPr>
              <a:solidFill>
                <a:srgbClr val="48DF0B"/>
              </a:solidFill>
              <a:scene3d>
                <a:camera prst="orthographicFront"/>
                <a:lightRig rig="threePt" dir="t"/>
              </a:scene3d>
              <a:sp3d>
                <a:bevelT/>
              </a:sp3d>
            </c:spPr>
          </c:dPt>
          <c:dPt>
            <c:idx val="1"/>
            <c:bubble3D val="0"/>
            <c:spPr>
              <a:solidFill>
                <a:srgbClr val="002060"/>
              </a:solidFill>
              <a:scene3d>
                <a:camera prst="orthographicFront"/>
                <a:lightRig rig="threePt" dir="t"/>
              </a:scene3d>
              <a:sp3d>
                <a:bevelT/>
              </a:sp3d>
            </c:spPr>
          </c:dPt>
          <c:dLbls>
            <c:spPr>
              <a:noFill/>
              <a:ln w="30206">
                <a:noFill/>
              </a:ln>
            </c:spPr>
            <c:txPr>
              <a:bodyPr rot="0"/>
              <a:lstStyle/>
              <a:p>
                <a:pPr>
                  <a:defRPr sz="1200"/>
                </a:pPr>
                <a:endParaRPr lang="en-US"/>
              </a:p>
            </c:txPr>
            <c:showLegendKey val="0"/>
            <c:showVal val="1"/>
            <c:showCatName val="0"/>
            <c:showSerName val="0"/>
            <c:showPercent val="0"/>
            <c:showBubbleSize val="0"/>
            <c:showLeaderLines val="1"/>
          </c:dLbls>
          <c:cat>
            <c:strRef>
              <c:f>Sheet1!$A$2:$A$3</c:f>
              <c:strCache>
                <c:ptCount val="2"/>
                <c:pt idx="0">
                  <c:v>Attended</c:v>
                </c:pt>
                <c:pt idx="1">
                  <c:v>Cancelled</c:v>
                </c:pt>
              </c:strCache>
            </c:strRef>
          </c:cat>
          <c:val>
            <c:numRef>
              <c:f>Sheet1!$B$2:$B$3</c:f>
              <c:numCache>
                <c:formatCode>0%</c:formatCode>
                <c:ptCount val="2"/>
                <c:pt idx="0">
                  <c:v>0.75</c:v>
                </c:pt>
                <c:pt idx="1">
                  <c:v>0.25</c:v>
                </c:pt>
              </c:numCache>
            </c:numRef>
          </c:val>
        </c:ser>
        <c:dLbls>
          <c:showLegendKey val="0"/>
          <c:showVal val="0"/>
          <c:showCatName val="0"/>
          <c:showSerName val="0"/>
          <c:showPercent val="0"/>
          <c:showBubbleSize val="0"/>
          <c:showLeaderLines val="1"/>
        </c:dLbls>
      </c:pie3DChart>
      <c:spPr>
        <a:noFill/>
        <a:ln w="30206">
          <a:noFill/>
        </a:ln>
      </c:spPr>
    </c:plotArea>
    <c:legend>
      <c:legendPos val="r"/>
      <c:layout>
        <c:manualLayout>
          <c:xMode val="edge"/>
          <c:yMode val="edge"/>
          <c:x val="0.67567558794673688"/>
          <c:y val="0.43511449771068572"/>
          <c:w val="0.28957548383222553"/>
          <c:h val="0.36641187179839957"/>
        </c:manualLayout>
      </c:layout>
      <c:overlay val="0"/>
      <c:txPr>
        <a:bodyPr/>
        <a:lstStyle/>
        <a:p>
          <a:pPr>
            <a:defRPr sz="1200"/>
          </a:pPr>
          <a:endParaRPr lang="en-US"/>
        </a:p>
      </c:txPr>
    </c:legend>
    <c:plotVisOnly val="1"/>
    <c:dispBlanksAs val="zero"/>
    <c:showDLblsOverMax val="0"/>
  </c:chart>
  <c:spPr>
    <a:ln>
      <a:noFill/>
    </a:ln>
    <a:scene3d>
      <a:camera prst="orthographicFront"/>
      <a:lightRig rig="threePt" dir="t"/>
    </a:scene3d>
    <a:sp3d prstMaterial="meta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en-CA" sz="1600"/>
              <a:t>Attendance Rates</a:t>
            </a:r>
          </a:p>
        </c:rich>
      </c:tx>
      <c:layout>
        <c:manualLayout>
          <c:xMode val="edge"/>
          <c:yMode val="edge"/>
          <c:x val="0.38043478260869568"/>
          <c:y val="2.1660649819494584E-2"/>
        </c:manualLayout>
      </c:layout>
      <c:overlay val="0"/>
      <c:spPr>
        <a:noFill/>
        <a:ln w="25361">
          <a:noFill/>
        </a:ln>
      </c:spPr>
    </c:title>
    <c:autoTitleDeleted val="0"/>
    <c:view3D>
      <c:rotX val="25"/>
      <c:hPercent val="34"/>
      <c:rotY val="30"/>
      <c:depthPercent val="100"/>
      <c:rAngAx val="1"/>
    </c:view3D>
    <c:floor>
      <c:thickness val="0"/>
      <c:spPr>
        <a:solidFill>
          <a:srgbClr val="333333"/>
        </a:soli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9"/>
            </a:gs>
          </a:gsLst>
          <a:lin ang="18900000" scaled="1"/>
        </a:gradFill>
        <a:ln w="12700">
          <a:solidFill>
            <a:srgbClr val="808080"/>
          </a:solidFill>
          <a:prstDash val="solid"/>
        </a:ln>
      </c:spPr>
    </c:sideWall>
    <c:back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9"/>
            </a:gs>
          </a:gsLst>
          <a:lin ang="18900000" scaled="1"/>
        </a:gradFill>
        <a:ln w="12700">
          <a:solidFill>
            <a:srgbClr val="808080"/>
          </a:solidFill>
          <a:prstDash val="solid"/>
        </a:ln>
      </c:spPr>
    </c:backWall>
    <c:plotArea>
      <c:layout>
        <c:manualLayout>
          <c:layoutTarget val="inner"/>
          <c:xMode val="edge"/>
          <c:yMode val="edge"/>
          <c:x val="5.745341614906832E-2"/>
          <c:y val="0.20216606498194944"/>
          <c:w val="0.92701863354037262"/>
          <c:h val="0.57761732851985559"/>
        </c:manualLayout>
      </c:layout>
      <c:bar3DChart>
        <c:barDir val="col"/>
        <c:grouping val="clustered"/>
        <c:varyColors val="0"/>
        <c:ser>
          <c:idx val="0"/>
          <c:order val="0"/>
          <c:tx>
            <c:strRef>
              <c:f>Sheet1!$A$2</c:f>
              <c:strCache>
                <c:ptCount val="1"/>
                <c:pt idx="0">
                  <c:v>10-Jul</c:v>
                </c:pt>
              </c:strCache>
            </c:strRef>
          </c:tx>
          <c:spPr>
            <a:solidFill>
              <a:srgbClr val="00FF00"/>
            </a:solidFill>
            <a:ln w="12680">
              <a:solidFill>
                <a:srgbClr val="000000"/>
              </a:solidFill>
              <a:prstDash val="solid"/>
            </a:ln>
          </c:spPr>
          <c:invertIfNegative val="0"/>
          <c:dPt>
            <c:idx val="1"/>
            <c:invertIfNegative val="0"/>
            <c:bubble3D val="0"/>
            <c:spPr>
              <a:solidFill>
                <a:srgbClr val="000080"/>
              </a:solidFill>
              <a:ln w="12680">
                <a:solidFill>
                  <a:srgbClr val="000000"/>
                </a:solidFill>
                <a:prstDash val="solid"/>
              </a:ln>
            </c:spPr>
          </c:dPt>
          <c:dPt>
            <c:idx val="2"/>
            <c:invertIfNegative val="0"/>
            <c:bubble3D val="0"/>
            <c:spPr>
              <a:solidFill>
                <a:srgbClr val="FFFF00"/>
              </a:solidFill>
              <a:ln w="12680">
                <a:solidFill>
                  <a:srgbClr val="000000"/>
                </a:solidFill>
                <a:prstDash val="solid"/>
              </a:ln>
            </c:spPr>
          </c:dPt>
          <c:dPt>
            <c:idx val="3"/>
            <c:invertIfNegative val="0"/>
            <c:bubble3D val="0"/>
            <c:spPr>
              <a:solidFill>
                <a:srgbClr val="FF0000"/>
              </a:solidFill>
              <a:ln w="12680">
                <a:solidFill>
                  <a:srgbClr val="000000"/>
                </a:solidFill>
                <a:prstDash val="solid"/>
              </a:ln>
            </c:spPr>
          </c:dPt>
          <c:dLbls>
            <c:dLbl>
              <c:idx val="0"/>
              <c:layout>
                <c:manualLayout>
                  <c:x val="2.0418580908626851E-3"/>
                  <c:y val="-5.5749128919860627E-2"/>
                </c:manualLayout>
              </c:layout>
              <c:showLegendKey val="0"/>
              <c:showVal val="1"/>
              <c:showCatName val="0"/>
              <c:showSerName val="0"/>
              <c:showPercent val="0"/>
              <c:showBubbleSize val="0"/>
            </c:dLbl>
            <c:dLbl>
              <c:idx val="1"/>
              <c:layout>
                <c:manualLayout>
                  <c:x val="0"/>
                  <c:y val="-5.5749128919860627E-2"/>
                </c:manualLayout>
              </c:layout>
              <c:showLegendKey val="0"/>
              <c:showVal val="1"/>
              <c:showCatName val="0"/>
              <c:showSerName val="0"/>
              <c:showPercent val="0"/>
              <c:showBubbleSize val="0"/>
            </c:dLbl>
            <c:dLbl>
              <c:idx val="2"/>
              <c:layout>
                <c:manualLayout>
                  <c:x val="-4.0837161817254448E-3"/>
                  <c:y val="-5.5749128919860669E-2"/>
                </c:manualLayout>
              </c:layout>
              <c:showLegendKey val="0"/>
              <c:showVal val="1"/>
              <c:showCatName val="0"/>
              <c:showSerName val="0"/>
              <c:showPercent val="0"/>
              <c:showBubbleSize val="0"/>
            </c:dLbl>
            <c:dLbl>
              <c:idx val="3"/>
              <c:layout>
                <c:manualLayout>
                  <c:x val="-4.0837161817253703E-3"/>
                  <c:y val="-3.7166085946573668E-2"/>
                </c:manualLayout>
              </c:layout>
              <c:showLegendKey val="0"/>
              <c:showVal val="1"/>
              <c:showCatName val="0"/>
              <c:showSerName val="0"/>
              <c:showPercent val="0"/>
              <c:showBubbleSize val="0"/>
            </c:dLbl>
            <c:spPr>
              <a:noFill/>
              <a:ln w="25361">
                <a:noFill/>
              </a:ln>
            </c:spPr>
            <c:txPr>
              <a:bodyPr/>
              <a:lstStyle/>
              <a:p>
                <a:pPr>
                  <a:defRPr sz="1473"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Sheet1!$B$1:$E$1</c:f>
              <c:strCache>
                <c:ptCount val="4"/>
                <c:pt idx="0">
                  <c:v>Possible Bookings</c:v>
                </c:pt>
                <c:pt idx="1">
                  <c:v>Booked</c:v>
                </c:pt>
                <c:pt idx="2">
                  <c:v>Attended</c:v>
                </c:pt>
                <c:pt idx="3">
                  <c:v>Cancelled</c:v>
                </c:pt>
              </c:strCache>
            </c:strRef>
          </c:cat>
          <c:val>
            <c:numRef>
              <c:f>Sheet1!$B$2:$E$2</c:f>
              <c:numCache>
                <c:formatCode>General</c:formatCode>
                <c:ptCount val="4"/>
                <c:pt idx="0">
                  <c:v>192</c:v>
                </c:pt>
                <c:pt idx="1">
                  <c:v>186</c:v>
                </c:pt>
                <c:pt idx="2">
                  <c:v>139</c:v>
                </c:pt>
                <c:pt idx="3">
                  <c:v>47</c:v>
                </c:pt>
              </c:numCache>
            </c:numRef>
          </c:val>
          <c:shape val="cylinder"/>
        </c:ser>
        <c:dLbls>
          <c:showLegendKey val="0"/>
          <c:showVal val="0"/>
          <c:showCatName val="0"/>
          <c:showSerName val="0"/>
          <c:showPercent val="0"/>
          <c:showBubbleSize val="0"/>
        </c:dLbls>
        <c:gapWidth val="100"/>
        <c:gapDepth val="0"/>
        <c:shape val="box"/>
        <c:axId val="204687232"/>
        <c:axId val="204688768"/>
        <c:axId val="0"/>
      </c:bar3DChart>
      <c:catAx>
        <c:axId val="204687232"/>
        <c:scaling>
          <c:orientation val="minMax"/>
        </c:scaling>
        <c:delete val="0"/>
        <c:axPos val="b"/>
        <c:numFmt formatCode="dd\-mmm" sourceLinked="1"/>
        <c:majorTickMark val="out"/>
        <c:minorTickMark val="none"/>
        <c:tickLblPos val="low"/>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en-US"/>
          </a:p>
        </c:txPr>
        <c:crossAx val="204688768"/>
        <c:crosses val="autoZero"/>
        <c:auto val="1"/>
        <c:lblAlgn val="ctr"/>
        <c:lblOffset val="100"/>
        <c:tickLblSkip val="1"/>
        <c:tickMarkSkip val="1"/>
        <c:noMultiLvlLbl val="0"/>
      </c:catAx>
      <c:valAx>
        <c:axId val="204688768"/>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en-US"/>
          </a:p>
        </c:txPr>
        <c:crossAx val="204687232"/>
        <c:crosses val="autoZero"/>
        <c:crossBetween val="between"/>
      </c:valAx>
      <c:spPr>
        <a:noFill/>
        <a:ln w="25361">
          <a:noFill/>
        </a:ln>
      </c:spPr>
    </c:plotArea>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Progression Report</vt:lpstr>
    </vt:vector>
  </TitlesOfParts>
  <Company>lbcc</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Report</dc:title>
  <dc:creator>Garth Jansen</dc:creator>
  <cp:lastModifiedBy>Garth Jansen</cp:lastModifiedBy>
  <cp:revision>2</cp:revision>
  <cp:lastPrinted>2010-12-17T21:14:00Z</cp:lastPrinted>
  <dcterms:created xsi:type="dcterms:W3CDTF">2011-07-11T18:35:00Z</dcterms:created>
  <dcterms:modified xsi:type="dcterms:W3CDTF">2011-07-11T18:35:00Z</dcterms:modified>
</cp:coreProperties>
</file>